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jc w:val="center"/>
        <w:rPr>
          <w:b/>
          <w:sz w:val="24"/>
          <w:szCs w:val="24"/>
        </w:rPr>
      </w:pPr>
      <w:r>
        <w:rPr>
          <w:sz w:val="20"/>
          <w:szCs w:val="20"/>
          <w:highlight w:val="yellow"/>
        </w:rPr>
      </w:r>
    </w:p>
    <w:p>
      <w:pPr>
        <w:pStyle w:val="normal1"/>
        <w:spacing w:lineRule="auto" w:line="276"/>
        <w:jc w:val="center"/>
        <w:rPr>
          <w:b/>
          <w:sz w:val="20"/>
          <w:szCs w:val="20"/>
        </w:rPr>
      </w:pPr>
      <w:r>
        <w:rPr>
          <w:b/>
          <w:sz w:val="20"/>
          <w:szCs w:val="20"/>
        </w:rPr>
        <w:t>ANEXO I</w:t>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t>TERMO DE CIÊNCIA E RESPONSABILIDADE - TCR</w:t>
      </w:r>
    </w:p>
    <w:p>
      <w:pPr>
        <w:pStyle w:val="normal1"/>
        <w:spacing w:lineRule="auto" w:line="276"/>
        <w:jc w:val="center"/>
        <w:rPr>
          <w:b/>
          <w:sz w:val="20"/>
          <w:szCs w:val="20"/>
        </w:rPr>
      </w:pPr>
      <w:r>
        <w:rPr>
          <w:b/>
          <w:sz w:val="20"/>
          <w:szCs w:val="20"/>
        </w:rPr>
      </w:r>
    </w:p>
    <w:p>
      <w:pPr>
        <w:pStyle w:val="normal1"/>
        <w:spacing w:lineRule="auto" w:line="276"/>
        <w:jc w:val="both"/>
        <w:rPr>
          <w:sz w:val="20"/>
          <w:szCs w:val="20"/>
        </w:rPr>
      </w:pPr>
      <w:r>
        <w:rPr>
          <w:b/>
          <w:sz w:val="20"/>
          <w:szCs w:val="20"/>
        </w:rPr>
        <w:br/>
      </w:r>
      <w:r>
        <w:rPr>
          <w:sz w:val="20"/>
          <w:szCs w:val="20"/>
        </w:rPr>
        <w:t xml:space="preserve">O </w:t>
      </w:r>
      <w:r>
        <w:rPr>
          <w:b/>
          <w:sz w:val="20"/>
          <w:szCs w:val="20"/>
        </w:rPr>
        <w:t xml:space="preserve">INSTITUTO FEDERAL DE EDUCAÇÃO DE SANTA CATARINA- IFSC, </w:t>
      </w:r>
      <w:r>
        <w:rPr>
          <w:sz w:val="20"/>
          <w:szCs w:val="20"/>
        </w:rPr>
        <w:t>neste ato representada pelo gestor, Sr. __________________________________</w:t>
      </w:r>
      <w:r>
        <w:rPr>
          <w:b/>
          <w:sz w:val="20"/>
          <w:szCs w:val="20"/>
        </w:rPr>
        <w:t>(nome da chefia imediata)</w:t>
      </w:r>
      <w:r>
        <w:rPr>
          <w:sz w:val="20"/>
          <w:szCs w:val="20"/>
        </w:rPr>
        <w:t xml:space="preserve">, e, do outro lado, o servidor público, __________________________________ </w:t>
      </w:r>
      <w:r>
        <w:rPr>
          <w:b/>
          <w:sz w:val="20"/>
          <w:szCs w:val="20"/>
        </w:rPr>
        <w:t xml:space="preserve">(nome do servidor), </w:t>
      </w:r>
      <w:r>
        <w:rPr>
          <w:sz w:val="20"/>
          <w:szCs w:val="20"/>
        </w:rPr>
        <w:t>ocupante do cargo de _______________________ (nome do cargo), número funcional ____________, portador do CPF nº _______________, em conformidade com os autos do processo nº ______________________ e com fundamento n</w:t>
      </w:r>
      <w:r>
        <w:rPr>
          <w:sz w:val="20"/>
          <w:szCs w:val="20"/>
          <w:highlight w:val="white"/>
        </w:rPr>
        <w:t xml:space="preserve">a Instrução Normativa n.º 15/2024 e </w:t>
      </w:r>
      <w:r>
        <w:rPr>
          <w:sz w:val="20"/>
          <w:szCs w:val="20"/>
        </w:rPr>
        <w:t>Portaria do Reitor nº 2203/2024</w:t>
      </w:r>
      <w:r>
        <w:rPr>
          <w:sz w:val="20"/>
          <w:szCs w:val="20"/>
          <w:highlight w:val="white"/>
        </w:rPr>
        <w:t xml:space="preserve">, </w:t>
      </w:r>
      <w:r>
        <w:rPr>
          <w:sz w:val="20"/>
          <w:szCs w:val="20"/>
        </w:rPr>
        <w:t xml:space="preserve">RESOLVEM firmar o presente TERMO DE CIÊNCIA E RESPONSABILIDADE, que regerá mediante as seguintes cláusulas e condições: </w:t>
      </w:r>
    </w:p>
    <w:p>
      <w:pPr>
        <w:pStyle w:val="normal1"/>
        <w:widowControl w:val="false"/>
        <w:spacing w:lineRule="auto" w:line="273" w:before="0" w:after="200"/>
        <w:jc w:val="both"/>
        <w:rPr>
          <w:b/>
          <w:sz w:val="20"/>
          <w:szCs w:val="20"/>
        </w:rPr>
      </w:pPr>
      <w:r>
        <w:rPr>
          <w:b/>
          <w:sz w:val="20"/>
          <w:szCs w:val="20"/>
        </w:rPr>
      </w:r>
    </w:p>
    <w:p>
      <w:pPr>
        <w:pStyle w:val="normal1"/>
        <w:widowControl w:val="false"/>
        <w:spacing w:lineRule="auto" w:line="273" w:before="200" w:after="200"/>
        <w:jc w:val="both"/>
        <w:rPr>
          <w:b/>
          <w:sz w:val="20"/>
          <w:szCs w:val="20"/>
        </w:rPr>
      </w:pPr>
      <w:r>
        <w:rPr>
          <w:b/>
          <w:sz w:val="20"/>
          <w:szCs w:val="20"/>
        </w:rPr>
        <w:t xml:space="preserve">CLÁUSULA PRIMEIRA – DO OBJETO </w:t>
      </w:r>
    </w:p>
    <w:p>
      <w:pPr>
        <w:pStyle w:val="normal1"/>
        <w:widowControl w:val="false"/>
        <w:spacing w:lineRule="auto" w:line="199" w:before="200" w:after="0"/>
        <w:jc w:val="both"/>
        <w:rPr>
          <w:b/>
          <w:sz w:val="20"/>
          <w:szCs w:val="20"/>
        </w:rPr>
      </w:pPr>
      <w:r>
        <w:rPr>
          <w:sz w:val="20"/>
          <w:szCs w:val="20"/>
        </w:rPr>
        <w:t xml:space="preserve">1.1. O presente instrumento tem como objeto autorizar o servidor ______________________________________ a realizar suas atividades laborais na modalidade teletrabalho, nos termos e condições a seguir estabelecidos. </w:t>
      </w:r>
    </w:p>
    <w:p>
      <w:pPr>
        <w:pStyle w:val="normal1"/>
        <w:widowControl w:val="false"/>
        <w:spacing w:lineRule="auto" w:line="199" w:before="0" w:after="200"/>
        <w:jc w:val="both"/>
        <w:rPr>
          <w:b/>
          <w:sz w:val="20"/>
          <w:szCs w:val="20"/>
        </w:rPr>
      </w:pPr>
      <w:r>
        <w:rPr>
          <w:b/>
          <w:sz w:val="20"/>
          <w:szCs w:val="20"/>
        </w:rPr>
      </w:r>
    </w:p>
    <w:p>
      <w:pPr>
        <w:pStyle w:val="normal1"/>
        <w:widowControl w:val="false"/>
        <w:spacing w:lineRule="auto" w:line="199" w:before="200" w:after="200"/>
        <w:jc w:val="both"/>
        <w:rPr>
          <w:b/>
          <w:sz w:val="20"/>
          <w:szCs w:val="20"/>
        </w:rPr>
      </w:pPr>
      <w:r>
        <w:rPr>
          <w:b/>
          <w:sz w:val="20"/>
          <w:szCs w:val="20"/>
        </w:rPr>
        <w:t xml:space="preserve">CLÁUSULA SEGUNDA – DAS OBRIGAÇÕES DAS PARTES </w:t>
      </w:r>
    </w:p>
    <w:p>
      <w:pPr>
        <w:pStyle w:val="normal1"/>
        <w:widowControl w:val="false"/>
        <w:spacing w:lineRule="auto" w:line="199"/>
        <w:jc w:val="both"/>
        <w:rPr>
          <w:sz w:val="20"/>
          <w:szCs w:val="20"/>
        </w:rPr>
      </w:pPr>
      <w:r>
        <w:rPr>
          <w:sz w:val="20"/>
          <w:szCs w:val="20"/>
        </w:rPr>
        <w:t xml:space="preserve">2.1. O servidor em regime de teletrabalho se obriga a: </w:t>
      </w:r>
    </w:p>
    <w:p>
      <w:pPr>
        <w:pStyle w:val="normal1"/>
        <w:widowControl w:val="false"/>
        <w:spacing w:lineRule="auto" w:line="199" w:before="200" w:after="0"/>
        <w:jc w:val="both"/>
        <w:rPr>
          <w:sz w:val="20"/>
          <w:szCs w:val="20"/>
        </w:rPr>
      </w:pPr>
      <w:r>
        <w:rPr>
          <w:sz w:val="20"/>
          <w:szCs w:val="20"/>
        </w:rPr>
        <w:t xml:space="preserve">I – Providenciar e custear as estruturas físicas e tecnológicas necessárias e compatíveis com as atividades a serem desenvolvidas no teletrabalho, conforme disposto no Anexo II; </w:t>
      </w:r>
    </w:p>
    <w:p>
      <w:pPr>
        <w:pStyle w:val="normal1"/>
        <w:widowControl w:val="false"/>
        <w:spacing w:lineRule="auto" w:line="199" w:before="200" w:after="0"/>
        <w:jc w:val="both"/>
        <w:rPr>
          <w:sz w:val="20"/>
          <w:szCs w:val="20"/>
        </w:rPr>
      </w:pPr>
      <w:r>
        <w:rPr>
          <w:sz w:val="20"/>
          <w:szCs w:val="20"/>
        </w:rPr>
        <w:t xml:space="preserve">II – Cumprir, no mínimo, as metas de desempenho estabelecidas; </w:t>
      </w:r>
    </w:p>
    <w:p>
      <w:pPr>
        <w:pStyle w:val="normal1"/>
        <w:widowControl w:val="false"/>
        <w:spacing w:lineRule="auto" w:line="199" w:before="200" w:after="0"/>
        <w:jc w:val="both"/>
        <w:rPr>
          <w:sz w:val="20"/>
          <w:szCs w:val="20"/>
        </w:rPr>
      </w:pPr>
      <w:r>
        <w:rPr>
          <w:sz w:val="20"/>
          <w:szCs w:val="20"/>
        </w:rPr>
        <w:t>III – Atender às convocações para comparecimento às dependências do órgão ou entidade, no interesse da Administração Pública, desde que seja respeitada a antecedência m</w:t>
      </w:r>
      <w:r>
        <w:rPr>
          <w:sz w:val="20"/>
          <w:szCs w:val="20"/>
          <w:highlight w:val="white"/>
        </w:rPr>
        <w:t xml:space="preserve">ínima de 2 (dois) dias úteis para o participante em regime de execução parcial e 4 (quatro) dias úteis para </w:t>
      </w:r>
      <w:r>
        <w:rPr>
          <w:sz w:val="20"/>
          <w:szCs w:val="20"/>
        </w:rPr>
        <w:t>participante em regime de execução integral</w:t>
      </w:r>
      <w:r>
        <w:rPr>
          <w:sz w:val="20"/>
          <w:szCs w:val="20"/>
          <w:highlight w:val="white"/>
        </w:rPr>
        <w:t>;</w:t>
      </w:r>
      <w:r>
        <w:rPr>
          <w:sz w:val="20"/>
          <w:szCs w:val="20"/>
        </w:rPr>
        <w:t xml:space="preserve"> </w:t>
      </w:r>
    </w:p>
    <w:p>
      <w:pPr>
        <w:pStyle w:val="normal1"/>
        <w:widowControl w:val="false"/>
        <w:spacing w:lineRule="auto" w:line="199" w:before="200" w:after="0"/>
        <w:jc w:val="both"/>
        <w:rPr>
          <w:sz w:val="20"/>
          <w:szCs w:val="20"/>
        </w:rPr>
      </w:pPr>
      <w:r>
        <w:rPr>
          <w:sz w:val="20"/>
          <w:szCs w:val="20"/>
        </w:rPr>
        <w:t xml:space="preserve">IV – Manter telefones de contato permanente atualizados e ativos; </w:t>
      </w:r>
    </w:p>
    <w:p>
      <w:pPr>
        <w:pStyle w:val="normal1"/>
        <w:widowControl w:val="false"/>
        <w:spacing w:lineRule="auto" w:line="273" w:before="200" w:after="0"/>
        <w:jc w:val="both"/>
        <w:rPr>
          <w:sz w:val="20"/>
          <w:szCs w:val="20"/>
        </w:rPr>
      </w:pPr>
      <w:r>
        <w:rPr>
          <w:sz w:val="20"/>
          <w:szCs w:val="20"/>
        </w:rPr>
        <w:t xml:space="preserve">V – Consultar diariamente correio eletrônico (e-mail) institucional individual e/ou outro canal de comunicação institucional previamente definido, inclusive via aplicativo multiplataforma de mensagens instantâneas e/ou outro recurso de tecnologia da informação; </w:t>
      </w:r>
    </w:p>
    <w:p>
      <w:pPr>
        <w:pStyle w:val="normal1"/>
        <w:widowControl w:val="false"/>
        <w:spacing w:lineRule="auto" w:line="273" w:before="200" w:after="0"/>
        <w:jc w:val="both"/>
        <w:rPr>
          <w:sz w:val="20"/>
          <w:szCs w:val="20"/>
        </w:rPr>
      </w:pPr>
      <w:r>
        <w:rPr>
          <w:sz w:val="20"/>
          <w:szCs w:val="20"/>
        </w:rPr>
        <w:t xml:space="preserve">VI – Retornar aos contatos recebidos no horário de funcionamento do órgão ou da entidade no prazo máximo de 8 (oito) horas. </w:t>
      </w:r>
    </w:p>
    <w:p>
      <w:pPr>
        <w:pStyle w:val="normal1"/>
        <w:widowControl w:val="false"/>
        <w:spacing w:lineRule="auto" w:line="273" w:before="200" w:after="0"/>
        <w:jc w:val="both"/>
        <w:rPr>
          <w:sz w:val="20"/>
          <w:szCs w:val="20"/>
        </w:rPr>
      </w:pPr>
      <w:r>
        <w:rPr>
          <w:sz w:val="20"/>
          <w:szCs w:val="20"/>
        </w:rPr>
        <w:t xml:space="preserve">VII – Informar à chefia imediata, por meio de mensagens de correio eletrônico institucional individual, sobre a evolução do teletrabalho, como também indicar eventual dificuldade, dúvida ou informação que possa atrasar ou prejudicar o seu andamento; </w:t>
      </w:r>
    </w:p>
    <w:p>
      <w:pPr>
        <w:pStyle w:val="normal1"/>
        <w:widowControl w:val="false"/>
        <w:spacing w:lineRule="auto" w:line="273" w:before="200" w:after="0"/>
        <w:jc w:val="both"/>
        <w:rPr>
          <w:sz w:val="20"/>
          <w:szCs w:val="20"/>
        </w:rPr>
      </w:pPr>
      <w:r>
        <w:rPr>
          <w:sz w:val="20"/>
          <w:szCs w:val="20"/>
        </w:rPr>
        <w:t xml:space="preserve">VIII – Reunir-se com a chefia imediata, mediante prévio aviso, para apresentar resultados parciais e finais, inclusive por meio de videoconferência ou outro meio de tecnologia da informação, proporcionando o acompanhamento da evolução dos trabalhos e fornecimento de demais informações; </w:t>
      </w:r>
    </w:p>
    <w:p>
      <w:pPr>
        <w:pStyle w:val="normal1"/>
        <w:widowControl w:val="false"/>
        <w:spacing w:lineRule="auto" w:line="273" w:before="200" w:after="0"/>
        <w:jc w:val="both"/>
        <w:rPr>
          <w:sz w:val="20"/>
          <w:szCs w:val="20"/>
        </w:rPr>
      </w:pPr>
      <w:r>
        <w:rPr>
          <w:sz w:val="20"/>
          <w:szCs w:val="20"/>
        </w:rPr>
        <w:t xml:space="preserve">IX – Retirar processos e demais documentos das dependências do órgão ou entidade, quando necessário, somente mediante registro no Sistema Eletrônico de Protocolo (SIPAC) de forma pessoal, e devolvê-los íntegros ao término do trabalho ou quando solicitado pela chefia imediata ou gestor da unidade; </w:t>
      </w:r>
    </w:p>
    <w:p>
      <w:pPr>
        <w:pStyle w:val="normal1"/>
        <w:widowControl w:val="false"/>
        <w:spacing w:lineRule="auto" w:line="273" w:before="200" w:after="200"/>
        <w:jc w:val="both"/>
        <w:rPr>
          <w:sz w:val="20"/>
          <w:szCs w:val="20"/>
        </w:rPr>
      </w:pPr>
      <w:r>
        <w:rPr>
          <w:sz w:val="20"/>
          <w:szCs w:val="20"/>
        </w:rPr>
        <w:t xml:space="preserve">X – Observar as normas e os procedimentos relativos à segurança da informação institucional e guardar sigilo a respeito das informações contidas nos processos e documentos que lhe forem atribuídos em regime de teletrabalho, sob pena de responsabilidade, nos termos da legislação em vigor. </w:t>
      </w:r>
    </w:p>
    <w:p>
      <w:pPr>
        <w:pStyle w:val="normal1"/>
        <w:widowControl w:val="false"/>
        <w:spacing w:lineRule="auto" w:line="273" w:before="200" w:after="200"/>
        <w:jc w:val="both"/>
        <w:rPr>
          <w:sz w:val="20"/>
          <w:szCs w:val="20"/>
        </w:rPr>
      </w:pPr>
      <w:r>
        <w:rPr>
          <w:sz w:val="20"/>
          <w:szCs w:val="20"/>
        </w:rPr>
        <w:t xml:space="preserve">§ 1º O servidor poderá, caso julgue necessário, comparecer ao seu local de trabalho, a fim de sanar dúvidas que, porventura, surjam na execução dos trabalhos. </w:t>
      </w:r>
    </w:p>
    <w:p>
      <w:pPr>
        <w:pStyle w:val="normal1"/>
        <w:widowControl w:val="false"/>
        <w:spacing w:lineRule="auto" w:line="273" w:before="200" w:after="0"/>
        <w:jc w:val="both"/>
        <w:rPr>
          <w:sz w:val="20"/>
          <w:szCs w:val="20"/>
        </w:rPr>
      </w:pPr>
      <w:r>
        <w:rPr>
          <w:sz w:val="20"/>
          <w:szCs w:val="20"/>
        </w:rPr>
        <w:t xml:space="preserve">§ 2º O comparecimento presencial ao órgão não gera direito a quaisquer benefícios ou indenizações. </w:t>
      </w:r>
    </w:p>
    <w:p>
      <w:pPr>
        <w:pStyle w:val="normal1"/>
        <w:widowControl w:val="false"/>
        <w:spacing w:lineRule="auto" w:line="273" w:before="200" w:after="0"/>
        <w:jc w:val="both"/>
        <w:rPr>
          <w:sz w:val="20"/>
          <w:szCs w:val="20"/>
        </w:rPr>
      </w:pPr>
      <w:r>
        <w:rPr>
          <w:sz w:val="20"/>
          <w:szCs w:val="20"/>
        </w:rPr>
        <w:t xml:space="preserve">§ 3º A participação do servidor em regime de teletrabalho não modifica a sua lotação ou seu exercício. </w:t>
      </w:r>
    </w:p>
    <w:p>
      <w:pPr>
        <w:pStyle w:val="normal1"/>
        <w:widowControl w:val="false"/>
        <w:spacing w:lineRule="auto" w:line="271" w:before="200" w:after="0"/>
        <w:jc w:val="both"/>
        <w:rPr>
          <w:sz w:val="20"/>
          <w:szCs w:val="20"/>
        </w:rPr>
      </w:pPr>
      <w:r>
        <w:rPr>
          <w:sz w:val="20"/>
          <w:szCs w:val="20"/>
        </w:rPr>
        <w:t xml:space="preserve">§ 4º As atividades executadas pelo servidor em regime de teletrabalho deverão ser cumpridas diretamente por ele, sendo vedada sua realização por terceiros, servidores ou não, sob pena de responsabilização administrativa, civil e criminal. </w:t>
      </w:r>
    </w:p>
    <w:p>
      <w:pPr>
        <w:pStyle w:val="normal1"/>
        <w:widowControl w:val="false"/>
        <w:spacing w:lineRule="auto" w:line="273" w:before="200" w:after="0"/>
        <w:jc w:val="both"/>
        <w:rPr>
          <w:sz w:val="20"/>
          <w:szCs w:val="20"/>
        </w:rPr>
      </w:pPr>
      <w:r>
        <w:rPr>
          <w:sz w:val="20"/>
          <w:szCs w:val="20"/>
        </w:rPr>
        <w:t xml:space="preserve">§ 5º A ocorrência de dificuldades técnicas com o acesso remoto aos sistemas institucionais não configura justificativa para o não cumprimento das metas, devendo o servidor, sempre que necessário, comparecer na respectiva unidade de lotação e executar suas atividades na forma presencial. </w:t>
      </w:r>
    </w:p>
    <w:p>
      <w:pPr>
        <w:pStyle w:val="normal1"/>
        <w:widowControl w:val="false"/>
        <w:spacing w:lineRule="auto" w:line="199" w:before="331" w:after="0"/>
        <w:jc w:val="both"/>
        <w:rPr>
          <w:sz w:val="20"/>
          <w:szCs w:val="20"/>
        </w:rPr>
      </w:pPr>
      <w:r>
        <w:rPr>
          <w:sz w:val="20"/>
          <w:szCs w:val="20"/>
        </w:rPr>
        <w:t xml:space="preserve">2.2. Compete à chefia imediata: </w:t>
      </w:r>
    </w:p>
    <w:p>
      <w:pPr>
        <w:pStyle w:val="normal1"/>
        <w:widowControl w:val="false"/>
        <w:spacing w:lineRule="auto" w:line="240" w:before="200" w:after="0"/>
        <w:jc w:val="both"/>
        <w:rPr>
          <w:sz w:val="20"/>
          <w:szCs w:val="20"/>
        </w:rPr>
      </w:pPr>
      <w:r>
        <w:rPr>
          <w:sz w:val="20"/>
          <w:szCs w:val="20"/>
        </w:rPr>
        <w:t xml:space="preserve">I – Estabelecer metas e planos de entrega e de trabalho; </w:t>
      </w:r>
    </w:p>
    <w:p>
      <w:pPr>
        <w:pStyle w:val="normal1"/>
        <w:widowControl w:val="false"/>
        <w:spacing w:lineRule="auto" w:line="240" w:before="200" w:after="0"/>
        <w:jc w:val="both"/>
        <w:rPr>
          <w:sz w:val="20"/>
          <w:szCs w:val="20"/>
        </w:rPr>
      </w:pPr>
      <w:r>
        <w:rPr>
          <w:sz w:val="20"/>
          <w:szCs w:val="20"/>
        </w:rPr>
        <w:t>II – Acompanhar o trabalho e a adaptação dos servidores em regime de teletrabalho;</w:t>
      </w:r>
    </w:p>
    <w:p>
      <w:pPr>
        <w:pStyle w:val="normal1"/>
        <w:widowControl w:val="false"/>
        <w:spacing w:lineRule="auto" w:line="240" w:before="200" w:after="0"/>
        <w:jc w:val="both"/>
        <w:rPr>
          <w:sz w:val="20"/>
          <w:szCs w:val="20"/>
        </w:rPr>
      </w:pPr>
      <w:r>
        <w:rPr>
          <w:sz w:val="20"/>
          <w:szCs w:val="20"/>
        </w:rPr>
        <w:t xml:space="preserve">III – Aferir e monitorar o cumprimento das metas de desempenho estabelecidas; </w:t>
      </w:r>
    </w:p>
    <w:p>
      <w:pPr>
        <w:pStyle w:val="normal1"/>
        <w:widowControl w:val="false"/>
        <w:spacing w:lineRule="auto" w:line="240" w:before="200" w:after="0"/>
        <w:jc w:val="both"/>
        <w:rPr>
          <w:sz w:val="20"/>
          <w:szCs w:val="20"/>
        </w:rPr>
      </w:pPr>
      <w:r>
        <w:rPr>
          <w:sz w:val="20"/>
          <w:szCs w:val="20"/>
        </w:rPr>
        <w:t xml:space="preserve">IV – Responder pelo controle dos resultados obtidos em face das metas fixadas; </w:t>
      </w:r>
    </w:p>
    <w:p>
      <w:pPr>
        <w:pStyle w:val="normal1"/>
        <w:widowControl w:val="false"/>
        <w:spacing w:lineRule="auto" w:line="240" w:before="200" w:after="0"/>
        <w:jc w:val="both"/>
        <w:rPr>
          <w:sz w:val="20"/>
          <w:szCs w:val="20"/>
        </w:rPr>
      </w:pPr>
      <w:r>
        <w:rPr>
          <w:sz w:val="20"/>
          <w:szCs w:val="20"/>
        </w:rPr>
        <w:t xml:space="preserve">V – Atestar a execução das atividades desempenhadas pelo servidor; </w:t>
      </w:r>
    </w:p>
    <w:p>
      <w:pPr>
        <w:pStyle w:val="normal1"/>
        <w:widowControl w:val="false"/>
        <w:spacing w:lineRule="auto" w:line="240" w:before="200" w:after="0"/>
        <w:jc w:val="both"/>
        <w:rPr>
          <w:sz w:val="20"/>
          <w:szCs w:val="20"/>
        </w:rPr>
      </w:pPr>
      <w:r>
        <w:rPr>
          <w:sz w:val="20"/>
          <w:szCs w:val="20"/>
        </w:rPr>
        <w:t xml:space="preserve">VI – Encaminhar relatório ao setor de gestão de pessoas, informando eventual descumprimento das metas, a fim de que seja registrado corte de ponto, se for o caso. </w:t>
      </w:r>
    </w:p>
    <w:p>
      <w:pPr>
        <w:pStyle w:val="normal1"/>
        <w:widowControl w:val="false"/>
        <w:spacing w:lineRule="auto" w:line="240" w:before="200" w:after="200"/>
        <w:jc w:val="both"/>
        <w:rPr>
          <w:sz w:val="20"/>
          <w:szCs w:val="20"/>
        </w:rPr>
      </w:pPr>
      <w:r>
        <w:rPr>
          <w:sz w:val="20"/>
          <w:szCs w:val="20"/>
        </w:rPr>
      </w:r>
    </w:p>
    <w:p>
      <w:pPr>
        <w:pStyle w:val="normal1"/>
        <w:widowControl w:val="false"/>
        <w:spacing w:lineRule="auto" w:line="240" w:before="200" w:after="0"/>
        <w:jc w:val="both"/>
        <w:rPr>
          <w:b/>
          <w:sz w:val="20"/>
          <w:szCs w:val="20"/>
        </w:rPr>
      </w:pPr>
      <w:r>
        <w:rPr>
          <w:b/>
          <w:sz w:val="20"/>
          <w:szCs w:val="20"/>
        </w:rPr>
        <w:t xml:space="preserve">CLÁUSULA TERCEIRA – DAS METAS DE DESEMPENHO E DO PRAZO DE CUMPRIMENTO </w:t>
      </w:r>
    </w:p>
    <w:p>
      <w:pPr>
        <w:pStyle w:val="normal1"/>
        <w:widowControl w:val="false"/>
        <w:spacing w:lineRule="auto" w:line="271" w:before="200" w:after="0"/>
        <w:jc w:val="both"/>
        <w:rPr>
          <w:sz w:val="20"/>
          <w:szCs w:val="20"/>
        </w:rPr>
      </w:pPr>
      <w:r>
        <w:rPr>
          <w:sz w:val="20"/>
          <w:szCs w:val="20"/>
        </w:rPr>
        <w:t>3.1. As metas serão estabelecidas em plano de trabalho utilizando o sistema Petrvs.</w:t>
      </w:r>
    </w:p>
    <w:p>
      <w:pPr>
        <w:pStyle w:val="normal1"/>
        <w:widowControl w:val="false"/>
        <w:spacing w:lineRule="auto" w:line="271" w:before="200" w:after="0"/>
        <w:jc w:val="both"/>
        <w:rPr>
          <w:sz w:val="20"/>
          <w:szCs w:val="20"/>
        </w:rPr>
      </w:pPr>
      <w:r>
        <w:rPr>
          <w:sz w:val="20"/>
          <w:szCs w:val="20"/>
        </w:rPr>
        <w:t xml:space="preserve">§ 1º O alcance das metas de desempenho e o cumprimento dos prazos fixados, nos termos previstos, equivalerá ao cumprimento da jornada de trabalho. </w:t>
      </w:r>
    </w:p>
    <w:p>
      <w:pPr>
        <w:pStyle w:val="normal1"/>
        <w:widowControl w:val="false"/>
        <w:spacing w:lineRule="auto" w:line="271" w:before="200" w:after="0"/>
        <w:jc w:val="both"/>
        <w:rPr>
          <w:sz w:val="20"/>
          <w:szCs w:val="20"/>
        </w:rPr>
      </w:pPr>
      <w:r>
        <w:rPr>
          <w:sz w:val="20"/>
          <w:szCs w:val="20"/>
        </w:rPr>
        <w:t xml:space="preserve">§ 2º Na hipótese de atraso injustificável no cumprimento das metas de desempenho, o servidor não se beneficiará da equivalência de jornada mencionada no § 1º, relativamente aos dias que excederem o prazo inicialmente fixado para o cumprimento das metas, caso em que poderá restar configurada, falta não justificada, inassiduidade habitual, abandono de cargo ou impontualidade, nos termos da Lei Complementar Nº 46/94, salvo por motivo devidamente justificado e aceito pelo gestor deste termo de compromisso. </w:t>
      </w:r>
    </w:p>
    <w:p>
      <w:pPr>
        <w:pStyle w:val="normal1"/>
        <w:widowControl w:val="false"/>
        <w:spacing w:lineRule="auto" w:line="271" w:before="200" w:after="0"/>
        <w:jc w:val="both"/>
        <w:rPr>
          <w:sz w:val="20"/>
          <w:szCs w:val="20"/>
        </w:rPr>
      </w:pPr>
      <w:r>
        <w:rPr>
          <w:sz w:val="20"/>
          <w:szCs w:val="20"/>
        </w:rPr>
        <w:t xml:space="preserve">§ 3º A concretização de volume de trabalho superior às metas de desempenho e/ou o desempenho de atividades laborativas em horários e dias diferentes do expediente normal não gerará, para qualquer efeito, contagem de horas excedentes de trabalho. </w:t>
      </w:r>
    </w:p>
    <w:p>
      <w:pPr>
        <w:pStyle w:val="normal1"/>
        <w:widowControl w:val="false"/>
        <w:spacing w:lineRule="auto" w:line="271"/>
        <w:jc w:val="both"/>
        <w:rPr>
          <w:sz w:val="20"/>
          <w:szCs w:val="20"/>
        </w:rPr>
      </w:pPr>
      <w:r>
        <w:rPr>
          <w:sz w:val="20"/>
          <w:szCs w:val="20"/>
        </w:rPr>
      </w:r>
    </w:p>
    <w:p>
      <w:pPr>
        <w:pStyle w:val="normal1"/>
        <w:widowControl w:val="false"/>
        <w:spacing w:lineRule="auto" w:line="271" w:before="200" w:after="0"/>
        <w:jc w:val="both"/>
        <w:rPr>
          <w:b/>
          <w:sz w:val="20"/>
          <w:szCs w:val="20"/>
        </w:rPr>
      </w:pPr>
      <w:r>
        <w:rPr>
          <w:b/>
          <w:sz w:val="20"/>
          <w:szCs w:val="20"/>
        </w:rPr>
        <w:t xml:space="preserve">CLÁUSULA QUARTA – DA VIGÊNCIA </w:t>
      </w:r>
    </w:p>
    <w:p>
      <w:pPr>
        <w:pStyle w:val="normal1"/>
        <w:widowControl w:val="false"/>
        <w:spacing w:lineRule="auto" w:line="271" w:before="200" w:after="0"/>
        <w:jc w:val="both"/>
        <w:rPr>
          <w:sz w:val="20"/>
          <w:szCs w:val="20"/>
        </w:rPr>
      </w:pPr>
      <w:r>
        <w:rPr>
          <w:sz w:val="20"/>
          <w:szCs w:val="20"/>
        </w:rPr>
        <w:t xml:space="preserve">4.1. O presente instrumento terá vigência de 24 meses, a contar da sua assinatura. </w:t>
      </w:r>
    </w:p>
    <w:p>
      <w:pPr>
        <w:pStyle w:val="normal1"/>
        <w:widowControl w:val="false"/>
        <w:spacing w:lineRule="auto" w:line="271"/>
        <w:jc w:val="both"/>
        <w:rPr>
          <w:sz w:val="20"/>
          <w:szCs w:val="20"/>
        </w:rPr>
      </w:pPr>
      <w:r>
        <w:rPr>
          <w:sz w:val="20"/>
          <w:szCs w:val="20"/>
        </w:rPr>
      </w:r>
    </w:p>
    <w:p>
      <w:pPr>
        <w:pStyle w:val="normal1"/>
        <w:widowControl w:val="false"/>
        <w:spacing w:lineRule="auto" w:line="271" w:before="200" w:after="0"/>
        <w:jc w:val="both"/>
        <w:rPr>
          <w:b/>
          <w:sz w:val="20"/>
          <w:szCs w:val="20"/>
        </w:rPr>
      </w:pPr>
      <w:r>
        <w:rPr>
          <w:b/>
          <w:sz w:val="20"/>
          <w:szCs w:val="20"/>
        </w:rPr>
        <w:t xml:space="preserve">CLÁUSULA QUINTA – DA EXTINÇÃO </w:t>
      </w:r>
    </w:p>
    <w:p>
      <w:pPr>
        <w:pStyle w:val="normal1"/>
        <w:widowControl w:val="false"/>
        <w:spacing w:lineRule="auto" w:line="199" w:before="200" w:after="0"/>
        <w:jc w:val="both"/>
        <w:rPr>
          <w:sz w:val="20"/>
          <w:szCs w:val="20"/>
        </w:rPr>
      </w:pPr>
      <w:r>
        <w:rPr>
          <w:sz w:val="20"/>
          <w:szCs w:val="20"/>
        </w:rPr>
        <w:t xml:space="preserve">5.1. O presente termo de compromisso poderá ser extinto, a qualquer tempo, mediante: </w:t>
      </w:r>
    </w:p>
    <w:p>
      <w:pPr>
        <w:pStyle w:val="normal1"/>
        <w:widowControl w:val="false"/>
        <w:spacing w:lineRule="auto" w:line="199" w:before="200" w:after="0"/>
        <w:jc w:val="both"/>
        <w:rPr>
          <w:sz w:val="20"/>
          <w:szCs w:val="20"/>
        </w:rPr>
      </w:pPr>
      <w:r>
        <w:rPr>
          <w:sz w:val="20"/>
          <w:szCs w:val="20"/>
        </w:rPr>
        <w:t xml:space="preserve">I – Solicitação do servidor; ou </w:t>
      </w:r>
    </w:p>
    <w:p>
      <w:pPr>
        <w:pStyle w:val="normal1"/>
        <w:widowControl w:val="false"/>
        <w:spacing w:lineRule="auto" w:line="199" w:before="200" w:after="0"/>
        <w:jc w:val="both"/>
        <w:rPr>
          <w:sz w:val="20"/>
          <w:szCs w:val="20"/>
        </w:rPr>
      </w:pPr>
      <w:r>
        <w:rPr>
          <w:sz w:val="20"/>
          <w:szCs w:val="20"/>
        </w:rPr>
        <w:t>II – No interesse da administração, de forma justificada.</w:t>
      </w:r>
    </w:p>
    <w:p>
      <w:pPr>
        <w:pStyle w:val="normal1"/>
        <w:widowControl w:val="false"/>
        <w:spacing w:lineRule="auto" w:line="199" w:before="200" w:after="0"/>
        <w:jc w:val="both"/>
        <w:rPr>
          <w:sz w:val="20"/>
          <w:szCs w:val="20"/>
        </w:rPr>
      </w:pPr>
      <w:r>
        <w:rPr>
          <w:sz w:val="20"/>
          <w:szCs w:val="20"/>
        </w:rPr>
        <w:t xml:space="preserve">Parágrafo único. No caso da desautorização disposta no inciso II, o servidor terá o prazo de 5 (cinco) dias úteis para deixar de exercer as atividades em modalidade teletrabalho, a contar de sua regular ciência, sem prejuízo do cumprimento das metas do mês em curso. </w:t>
      </w:r>
    </w:p>
    <w:p>
      <w:pPr>
        <w:pStyle w:val="normal1"/>
        <w:widowControl w:val="false"/>
        <w:spacing w:lineRule="auto" w:line="199" w:before="200" w:after="0"/>
        <w:jc w:val="both"/>
        <w:rPr>
          <w:b/>
          <w:sz w:val="20"/>
          <w:szCs w:val="20"/>
        </w:rPr>
      </w:pPr>
      <w:r>
        <w:rPr>
          <w:b/>
          <w:sz w:val="20"/>
          <w:szCs w:val="20"/>
        </w:rPr>
        <w:t xml:space="preserve">CLÁUSULA SEXTA – DO ADITAMENTO </w:t>
      </w:r>
    </w:p>
    <w:p>
      <w:pPr>
        <w:pStyle w:val="normal1"/>
        <w:widowControl w:val="false"/>
        <w:spacing w:lineRule="auto" w:line="199" w:before="200" w:after="0"/>
        <w:jc w:val="both"/>
        <w:rPr>
          <w:sz w:val="20"/>
          <w:szCs w:val="20"/>
        </w:rPr>
      </w:pPr>
      <w:r>
        <w:rPr>
          <w:sz w:val="20"/>
          <w:szCs w:val="20"/>
        </w:rPr>
        <w:t xml:space="preserve">6.1. O presente termo de responsabilidade poderá ser aditado, por conveniência da Administração, por meio de termo aditivo. </w:t>
      </w:r>
    </w:p>
    <w:p>
      <w:pPr>
        <w:pStyle w:val="normal1"/>
        <w:widowControl w:val="false"/>
        <w:spacing w:lineRule="auto" w:line="280" w:before="401" w:after="0"/>
        <w:jc w:val="both"/>
        <w:rPr>
          <w:b/>
          <w:sz w:val="20"/>
          <w:szCs w:val="20"/>
        </w:rPr>
      </w:pPr>
      <w:r>
        <w:rPr>
          <w:b/>
          <w:sz w:val="20"/>
          <w:szCs w:val="20"/>
        </w:rPr>
      </w:r>
    </w:p>
    <w:p>
      <w:pPr>
        <w:pStyle w:val="normal1"/>
        <w:widowControl w:val="false"/>
        <w:spacing w:lineRule="auto" w:line="280" w:before="401" w:after="0"/>
        <w:jc w:val="center"/>
        <w:rPr>
          <w:sz w:val="20"/>
          <w:szCs w:val="20"/>
        </w:rPr>
      </w:pPr>
      <w:r>
        <w:rPr>
          <w:b/>
          <w:sz w:val="20"/>
          <w:szCs w:val="20"/>
        </w:rPr>
        <w:t>Urupema, SC</w:t>
      </w:r>
      <w:r>
        <w:rPr>
          <w:sz w:val="20"/>
          <w:szCs w:val="20"/>
        </w:rPr>
        <w:t xml:space="preserve">, ______ de _____________ de 202__. </w:t>
      </w:r>
    </w:p>
    <w:p>
      <w:pPr>
        <w:pStyle w:val="normal1"/>
        <w:spacing w:lineRule="auto" w:line="276"/>
        <w:jc w:val="center"/>
        <w:rPr>
          <w:b/>
          <w:sz w:val="20"/>
          <w:szCs w:val="20"/>
        </w:rPr>
      </w:pPr>
      <w:r>
        <w:rPr>
          <w:b/>
          <w:sz w:val="20"/>
          <w:szCs w:val="20"/>
        </w:rPr>
      </w:r>
    </w:p>
    <w:p>
      <w:pPr>
        <w:pStyle w:val="normal1"/>
        <w:widowControl w:val="false"/>
        <w:spacing w:lineRule="auto" w:line="280" w:before="200" w:after="0"/>
        <w:jc w:val="center"/>
        <w:rPr>
          <w:sz w:val="20"/>
          <w:szCs w:val="20"/>
        </w:rPr>
      </w:pPr>
      <w:r>
        <w:rPr>
          <w:sz w:val="20"/>
          <w:szCs w:val="20"/>
        </w:rPr>
        <w:t>(nome e assinatura da chefia imediata)</w:t>
      </w:r>
    </w:p>
    <w:p>
      <w:pPr>
        <w:pStyle w:val="normal1"/>
        <w:widowControl w:val="false"/>
        <w:spacing w:lineRule="auto" w:line="280" w:before="200" w:after="0"/>
        <w:jc w:val="center"/>
        <w:rPr>
          <w:sz w:val="20"/>
          <w:szCs w:val="20"/>
        </w:rPr>
      </w:pPr>
      <w:r>
        <w:rPr>
          <w:sz w:val="20"/>
          <w:szCs w:val="20"/>
        </w:rPr>
      </w:r>
    </w:p>
    <w:p>
      <w:pPr>
        <w:pStyle w:val="normal1"/>
        <w:widowControl w:val="false"/>
        <w:spacing w:lineRule="auto" w:line="199" w:before="200" w:after="0"/>
        <w:jc w:val="center"/>
        <w:rPr>
          <w:sz w:val="20"/>
          <w:szCs w:val="20"/>
        </w:rPr>
      </w:pPr>
      <w:r>
        <w:rPr>
          <w:sz w:val="20"/>
          <w:szCs w:val="20"/>
        </w:rPr>
        <w:t>(nome órgão/entidade)</w:t>
      </w:r>
    </w:p>
    <w:p>
      <w:pPr>
        <w:pStyle w:val="normal1"/>
        <w:widowControl w:val="false"/>
        <w:spacing w:lineRule="auto" w:line="199" w:before="200" w:after="0"/>
        <w:jc w:val="center"/>
        <w:rPr>
          <w:sz w:val="20"/>
          <w:szCs w:val="20"/>
        </w:rPr>
      </w:pPr>
      <w:r>
        <w:rPr>
          <w:sz w:val="20"/>
          <w:szCs w:val="20"/>
        </w:rPr>
      </w:r>
    </w:p>
    <w:p>
      <w:pPr>
        <w:pStyle w:val="normal1"/>
        <w:widowControl w:val="false"/>
        <w:spacing w:lineRule="auto" w:line="199" w:before="200" w:after="0"/>
        <w:jc w:val="center"/>
        <w:rPr>
          <w:sz w:val="20"/>
          <w:szCs w:val="20"/>
        </w:rPr>
      </w:pPr>
      <w:r>
        <w:rPr>
          <w:sz w:val="20"/>
          <w:szCs w:val="20"/>
        </w:rPr>
      </w:r>
    </w:p>
    <w:p>
      <w:pPr>
        <w:pStyle w:val="normal1"/>
        <w:widowControl w:val="false"/>
        <w:spacing w:lineRule="auto" w:line="199"/>
        <w:jc w:val="center"/>
        <w:rPr>
          <w:sz w:val="20"/>
          <w:szCs w:val="20"/>
        </w:rPr>
      </w:pPr>
      <w:r>
        <w:rPr>
          <w:sz w:val="20"/>
          <w:szCs w:val="20"/>
        </w:rPr>
        <w:t xml:space="preserve">(nome e assinatura do servidor) </w:t>
      </w:r>
    </w:p>
    <w:p>
      <w:pPr>
        <w:pStyle w:val="normal1"/>
        <w:widowControl w:val="false"/>
        <w:spacing w:lineRule="auto" w:line="199"/>
        <w:jc w:val="center"/>
        <w:rPr>
          <w:sz w:val="20"/>
          <w:szCs w:val="20"/>
        </w:rPr>
      </w:pPr>
      <w:r>
        <w:rPr>
          <w:sz w:val="20"/>
          <w:szCs w:val="20"/>
        </w:rPr>
        <w:t xml:space="preserve">Servidor </w:t>
      </w:r>
    </w:p>
    <w:p>
      <w:pPr>
        <w:pStyle w:val="normal1"/>
        <w:widowControl w:val="false"/>
        <w:spacing w:lineRule="auto" w:line="199"/>
        <w:jc w:val="center"/>
        <w:rPr>
          <w:b/>
          <w:color w:val="008000"/>
          <w:sz w:val="20"/>
          <w:szCs w:val="20"/>
        </w:rPr>
      </w:pPr>
      <w:r>
        <w:rPr>
          <w:b/>
          <w:color w:val="008000"/>
          <w:sz w:val="20"/>
          <w:szCs w:val="20"/>
        </w:rPr>
      </w:r>
    </w:p>
    <w:p>
      <w:pPr>
        <w:pStyle w:val="normal1"/>
        <w:widowControl w:val="false"/>
        <w:spacing w:lineRule="auto" w:line="199"/>
        <w:jc w:val="both"/>
        <w:rPr>
          <w:b/>
          <w:color w:val="008000"/>
          <w:sz w:val="20"/>
          <w:szCs w:val="20"/>
        </w:rPr>
      </w:pPr>
      <w:r>
        <w:rPr>
          <w:b/>
          <w:color w:val="008000"/>
          <w:sz w:val="20"/>
          <w:szCs w:val="20"/>
        </w:rPr>
      </w:r>
    </w:p>
    <w:p>
      <w:pPr>
        <w:pStyle w:val="normal1"/>
        <w:widowControl w:val="false"/>
        <w:spacing w:lineRule="auto" w:line="199" w:before="200" w:after="0"/>
        <w:jc w:val="center"/>
        <w:rPr>
          <w:sz w:val="20"/>
          <w:szCs w:val="20"/>
        </w:rPr>
      </w:pPr>
      <w:r>
        <w:rPr>
          <w:sz w:val="20"/>
          <w:szCs w:val="20"/>
        </w:rPr>
        <w:t xml:space="preserve"> </w:t>
      </w:r>
    </w:p>
    <w:p>
      <w:pPr>
        <w:pStyle w:val="normal1"/>
        <w:widowControl w:val="false"/>
        <w:spacing w:lineRule="auto" w:line="199" w:before="200" w:after="0"/>
        <w:jc w:val="center"/>
        <w:rPr>
          <w:sz w:val="20"/>
          <w:szCs w:val="20"/>
        </w:rPr>
      </w:pPr>
      <w:r>
        <w:rPr>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widowControl w:val="false"/>
        <w:spacing w:lineRule="auto" w:line="254"/>
        <w:jc w:val="center"/>
        <w:rPr>
          <w:b/>
          <w:sz w:val="20"/>
          <w:szCs w:val="20"/>
          <w:u w:val="single"/>
        </w:rPr>
      </w:pPr>
      <w:r>
        <w:rPr>
          <w:b/>
          <w:sz w:val="20"/>
          <w:szCs w:val="20"/>
          <w:u w:val="single"/>
        </w:rPr>
        <w:t xml:space="preserve">ANEXO II </w:t>
      </w:r>
    </w:p>
    <w:p>
      <w:pPr>
        <w:pStyle w:val="normal1"/>
        <w:widowControl w:val="false"/>
        <w:spacing w:lineRule="auto" w:line="254"/>
        <w:jc w:val="center"/>
        <w:rPr>
          <w:b/>
          <w:sz w:val="20"/>
          <w:szCs w:val="20"/>
          <w:u w:val="single"/>
        </w:rPr>
      </w:pPr>
      <w:r>
        <w:rPr>
          <w:b/>
          <w:sz w:val="20"/>
          <w:szCs w:val="20"/>
          <w:u w:val="single"/>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t>Da Infraestrutura Tecnológica e Ergonômica</w:t>
      </w:r>
    </w:p>
    <w:p>
      <w:pPr>
        <w:pStyle w:val="normal1"/>
        <w:spacing w:lineRule="auto" w:line="276"/>
        <w:jc w:val="both"/>
        <w:rPr>
          <w:sz w:val="20"/>
          <w:szCs w:val="20"/>
        </w:rPr>
      </w:pPr>
      <w:r>
        <w:rPr>
          <w:sz w:val="20"/>
          <w:szCs w:val="20"/>
        </w:rPr>
      </w:r>
    </w:p>
    <w:p>
      <w:pPr>
        <w:pStyle w:val="normal1"/>
        <w:spacing w:lineRule="auto" w:line="276"/>
        <w:jc w:val="both"/>
        <w:rPr>
          <w:b/>
          <w:sz w:val="20"/>
          <w:szCs w:val="20"/>
        </w:rPr>
      </w:pPr>
      <w:r>
        <w:rPr>
          <w:b/>
          <w:sz w:val="20"/>
          <w:szCs w:val="20"/>
        </w:rPr>
        <w:t>1 Infraestrutura de Tecnologia da Informação e Comunicação</w:t>
      </w:r>
    </w:p>
    <w:p>
      <w:pPr>
        <w:pStyle w:val="normal1"/>
        <w:spacing w:lineRule="auto" w:line="276"/>
        <w:jc w:val="both"/>
        <w:rPr>
          <w:b/>
          <w:sz w:val="20"/>
          <w:szCs w:val="20"/>
        </w:rPr>
      </w:pPr>
      <w:r>
        <w:rPr>
          <w:b/>
          <w:sz w:val="20"/>
          <w:szCs w:val="20"/>
        </w:rPr>
      </w:r>
    </w:p>
    <w:p>
      <w:pPr>
        <w:pStyle w:val="normal1"/>
        <w:spacing w:lineRule="auto" w:line="276"/>
        <w:jc w:val="both"/>
        <w:rPr>
          <w:sz w:val="20"/>
          <w:szCs w:val="20"/>
        </w:rPr>
      </w:pPr>
      <w:r>
        <w:rPr>
          <w:sz w:val="20"/>
          <w:szCs w:val="20"/>
        </w:rPr>
        <w:t>1.1. Dispositivo eletrônico com acesso à Internet;</w:t>
      </w:r>
    </w:p>
    <w:p>
      <w:pPr>
        <w:pStyle w:val="normal1"/>
        <w:spacing w:lineRule="auto" w:line="276"/>
        <w:jc w:val="both"/>
        <w:rPr>
          <w:sz w:val="20"/>
          <w:szCs w:val="20"/>
        </w:rPr>
      </w:pPr>
      <w:r>
        <w:rPr>
          <w:sz w:val="20"/>
          <w:szCs w:val="20"/>
        </w:rPr>
        <w:t xml:space="preserve">1.1.1. Desktop </w:t>
      </w:r>
      <w:r>
        <w:rPr>
          <w:sz w:val="20"/>
          <w:szCs w:val="20"/>
          <w:highlight w:val="white"/>
        </w:rPr>
        <w:t>(com acessórios como microfone/fone);</w:t>
      </w:r>
      <w:r>
        <w:rPr>
          <w:sz w:val="20"/>
          <w:szCs w:val="20"/>
        </w:rPr>
        <w:t xml:space="preserve"> </w:t>
      </w:r>
    </w:p>
    <w:p>
      <w:pPr>
        <w:pStyle w:val="normal1"/>
        <w:spacing w:lineRule="auto" w:line="276"/>
        <w:jc w:val="both"/>
        <w:rPr>
          <w:sz w:val="20"/>
          <w:szCs w:val="20"/>
        </w:rPr>
      </w:pPr>
      <w:r>
        <w:rPr>
          <w:sz w:val="20"/>
          <w:szCs w:val="20"/>
        </w:rPr>
        <w:t>1.1.2. Notebook (preferencialmente com fones de ouvido para evitar microfonia);</w:t>
      </w:r>
    </w:p>
    <w:p>
      <w:pPr>
        <w:pStyle w:val="normal1"/>
        <w:spacing w:lineRule="auto" w:line="276"/>
        <w:jc w:val="both"/>
        <w:rPr>
          <w:sz w:val="20"/>
          <w:szCs w:val="20"/>
        </w:rPr>
      </w:pPr>
      <w:r>
        <w:rPr>
          <w:sz w:val="20"/>
          <w:szCs w:val="20"/>
        </w:rPr>
        <w:t>1.1.3. Tablet;</w:t>
      </w:r>
    </w:p>
    <w:p>
      <w:pPr>
        <w:pStyle w:val="normal1"/>
        <w:spacing w:lineRule="auto" w:line="276"/>
        <w:jc w:val="both"/>
        <w:rPr>
          <w:sz w:val="20"/>
          <w:szCs w:val="20"/>
        </w:rPr>
      </w:pPr>
      <w:r>
        <w:rPr>
          <w:sz w:val="20"/>
          <w:szCs w:val="20"/>
        </w:rPr>
        <w:t>1.1.4. Telefone celular;</w:t>
      </w:r>
    </w:p>
    <w:p>
      <w:pPr>
        <w:pStyle w:val="normal1"/>
        <w:spacing w:lineRule="auto" w:line="276"/>
        <w:jc w:val="both"/>
        <w:rPr>
          <w:sz w:val="20"/>
          <w:szCs w:val="20"/>
        </w:rPr>
      </w:pPr>
      <w:r>
        <w:rPr>
          <w:sz w:val="20"/>
          <w:szCs w:val="20"/>
        </w:rPr>
        <w:t>1.2. Acesso à Internet (preferencialmente através de cabeamento e não somente conexão sem fio).</w:t>
      </w:r>
    </w:p>
    <w:p>
      <w:pPr>
        <w:pStyle w:val="normal1"/>
        <w:spacing w:lineRule="auto" w:line="276"/>
        <w:jc w:val="both"/>
        <w:rPr>
          <w:sz w:val="20"/>
          <w:szCs w:val="20"/>
        </w:rPr>
      </w:pPr>
      <w:r>
        <w:rPr>
          <w:sz w:val="20"/>
          <w:szCs w:val="20"/>
        </w:rPr>
        <w:t xml:space="preserve"> </w:t>
      </w:r>
    </w:p>
    <w:p>
      <w:pPr>
        <w:pStyle w:val="normal1"/>
        <w:spacing w:lineRule="auto" w:line="276"/>
        <w:jc w:val="both"/>
        <w:rPr>
          <w:b/>
          <w:sz w:val="20"/>
          <w:szCs w:val="20"/>
        </w:rPr>
      </w:pPr>
      <w:r>
        <w:rPr>
          <w:b/>
          <w:sz w:val="20"/>
          <w:szCs w:val="20"/>
        </w:rPr>
        <w:t>2 Aplicações para o desenvolvimento das atividades laborais</w:t>
      </w:r>
    </w:p>
    <w:p>
      <w:pPr>
        <w:pStyle w:val="normal1"/>
        <w:spacing w:lineRule="auto" w:line="276"/>
        <w:jc w:val="both"/>
        <w:rPr>
          <w:b/>
          <w:sz w:val="20"/>
          <w:szCs w:val="20"/>
        </w:rPr>
      </w:pPr>
      <w:r>
        <w:rPr>
          <w:b/>
          <w:sz w:val="20"/>
          <w:szCs w:val="20"/>
        </w:rPr>
      </w:r>
    </w:p>
    <w:p>
      <w:pPr>
        <w:pStyle w:val="normal1"/>
        <w:spacing w:lineRule="auto" w:line="276"/>
        <w:jc w:val="both"/>
        <w:rPr>
          <w:sz w:val="20"/>
          <w:szCs w:val="20"/>
        </w:rPr>
      </w:pPr>
      <w:r>
        <w:rPr>
          <w:sz w:val="20"/>
          <w:szCs w:val="20"/>
        </w:rPr>
        <w:t>2.1. Aplicativos de escritório instalados ou em cloud computing (nuvem);</w:t>
      </w:r>
    </w:p>
    <w:p>
      <w:pPr>
        <w:pStyle w:val="normal1"/>
        <w:spacing w:lineRule="auto" w:line="276"/>
        <w:jc w:val="both"/>
        <w:rPr>
          <w:sz w:val="20"/>
          <w:szCs w:val="20"/>
        </w:rPr>
      </w:pPr>
      <w:r>
        <w:rPr>
          <w:sz w:val="20"/>
          <w:szCs w:val="20"/>
        </w:rPr>
        <w:t>2.1.1. Suíte Google (podendo ser instalada off-line através de extensões Chrome e softwares de sincronismo em disco local);</w:t>
      </w:r>
    </w:p>
    <w:p>
      <w:pPr>
        <w:pStyle w:val="normal1"/>
        <w:spacing w:lineRule="auto" w:line="276"/>
        <w:jc w:val="both"/>
        <w:rPr>
          <w:sz w:val="20"/>
          <w:szCs w:val="20"/>
        </w:rPr>
      </w:pPr>
      <w:r>
        <w:rPr>
          <w:sz w:val="20"/>
          <w:szCs w:val="20"/>
        </w:rPr>
        <w:t>2.1.2. Microsoft Office de acesso gratuito (preferencialmente em nuvem através do licenciamento gratuito do IFSC);</w:t>
      </w:r>
    </w:p>
    <w:p>
      <w:pPr>
        <w:pStyle w:val="normal1"/>
        <w:spacing w:lineRule="auto" w:line="276"/>
        <w:jc w:val="both"/>
        <w:rPr>
          <w:sz w:val="20"/>
          <w:szCs w:val="20"/>
        </w:rPr>
      </w:pPr>
      <w:r>
        <w:rPr>
          <w:sz w:val="20"/>
          <w:szCs w:val="20"/>
        </w:rPr>
        <w:t>2.1.3. OpenOffice (distribuição LibreOffice);</w:t>
      </w:r>
    </w:p>
    <w:p>
      <w:pPr>
        <w:pStyle w:val="normal1"/>
        <w:spacing w:lineRule="auto" w:line="276"/>
        <w:jc w:val="both"/>
        <w:rPr>
          <w:sz w:val="20"/>
          <w:szCs w:val="20"/>
        </w:rPr>
      </w:pPr>
      <w:r>
        <w:rPr>
          <w:sz w:val="20"/>
          <w:szCs w:val="20"/>
        </w:rPr>
        <w:t>2.1.4. Aplicativos para reuniões virtuais (Google Meet, Microsoft Teams, RNP Conf, Webex, etc);</w:t>
      </w:r>
    </w:p>
    <w:p>
      <w:pPr>
        <w:pStyle w:val="normal1"/>
        <w:spacing w:lineRule="auto" w:line="276"/>
        <w:jc w:val="both"/>
        <w:rPr>
          <w:sz w:val="20"/>
          <w:szCs w:val="20"/>
        </w:rPr>
      </w:pPr>
      <w:r>
        <w:rPr>
          <w:sz w:val="20"/>
          <w:szCs w:val="20"/>
        </w:rPr>
        <w:t>2.2. Aplicativos para conversas síncronas;</w:t>
      </w:r>
    </w:p>
    <w:p>
      <w:pPr>
        <w:pStyle w:val="normal1"/>
        <w:spacing w:lineRule="auto" w:line="276"/>
        <w:jc w:val="both"/>
        <w:rPr>
          <w:sz w:val="20"/>
          <w:szCs w:val="20"/>
        </w:rPr>
      </w:pPr>
      <w:r>
        <w:rPr>
          <w:sz w:val="20"/>
          <w:szCs w:val="20"/>
        </w:rPr>
        <w:t xml:space="preserve">2.2.1. Chat Google Workplace (Institucional @ifsc e não </w:t>
      </w:r>
      <w:r>
        <w:rPr>
          <w:b/>
          <w:sz w:val="20"/>
          <w:szCs w:val="20"/>
        </w:rPr>
        <w:t>@gmail</w:t>
      </w:r>
      <w:r>
        <w:rPr>
          <w:sz w:val="20"/>
          <w:szCs w:val="20"/>
        </w:rPr>
        <w:t>);</w:t>
      </w:r>
    </w:p>
    <w:p>
      <w:pPr>
        <w:pStyle w:val="normal1"/>
        <w:spacing w:lineRule="auto" w:line="276"/>
        <w:jc w:val="both"/>
        <w:rPr>
          <w:sz w:val="20"/>
          <w:szCs w:val="20"/>
        </w:rPr>
      </w:pPr>
      <w:r>
        <w:rPr>
          <w:sz w:val="20"/>
          <w:szCs w:val="20"/>
        </w:rPr>
        <w:t>2.2.2. WhatsApp Business (preferencialmente vinculado a ramais do IFSC e backup das conversas em Google Drive institucional);</w:t>
      </w:r>
    </w:p>
    <w:p>
      <w:pPr>
        <w:pStyle w:val="normal1"/>
        <w:spacing w:lineRule="auto" w:line="276"/>
        <w:jc w:val="both"/>
        <w:rPr>
          <w:sz w:val="20"/>
          <w:szCs w:val="20"/>
        </w:rPr>
      </w:pPr>
      <w:r>
        <w:rPr>
          <w:sz w:val="20"/>
          <w:szCs w:val="20"/>
        </w:rPr>
        <w:t>2.2.3. Microsoft Teams (utilizando autocadastro com conta @ifsc.edu.br);</w:t>
      </w:r>
    </w:p>
    <w:p>
      <w:pPr>
        <w:pStyle w:val="normal1"/>
        <w:spacing w:lineRule="auto" w:line="276"/>
        <w:jc w:val="both"/>
        <w:rPr>
          <w:sz w:val="20"/>
          <w:szCs w:val="20"/>
        </w:rPr>
      </w:pPr>
      <w:r>
        <w:rPr>
          <w:sz w:val="20"/>
          <w:szCs w:val="20"/>
        </w:rPr>
        <w:t>2.3. Navegadores compatíveis com os requisitos dos sistemas institucionais;</w:t>
      </w:r>
    </w:p>
    <w:p>
      <w:pPr>
        <w:pStyle w:val="normal1"/>
        <w:spacing w:lineRule="auto" w:line="276"/>
        <w:jc w:val="both"/>
        <w:rPr>
          <w:sz w:val="20"/>
          <w:szCs w:val="20"/>
        </w:rPr>
      </w:pPr>
      <w:r>
        <w:rPr>
          <w:sz w:val="20"/>
          <w:szCs w:val="20"/>
        </w:rPr>
        <w:t>2.3.1. Firefox;</w:t>
      </w:r>
    </w:p>
    <w:p>
      <w:pPr>
        <w:pStyle w:val="normal1"/>
        <w:spacing w:lineRule="auto" w:line="276"/>
        <w:jc w:val="both"/>
        <w:rPr>
          <w:sz w:val="20"/>
          <w:szCs w:val="20"/>
        </w:rPr>
      </w:pPr>
      <w:r>
        <w:rPr>
          <w:sz w:val="20"/>
          <w:szCs w:val="20"/>
        </w:rPr>
        <w:t>2.3.2. Chrome;</w:t>
      </w:r>
    </w:p>
    <w:p>
      <w:pPr>
        <w:pStyle w:val="normal1"/>
        <w:spacing w:lineRule="auto" w:line="276"/>
        <w:jc w:val="both"/>
        <w:rPr>
          <w:sz w:val="20"/>
          <w:szCs w:val="20"/>
        </w:rPr>
      </w:pPr>
      <w:r>
        <w:rPr>
          <w:sz w:val="20"/>
          <w:szCs w:val="20"/>
        </w:rPr>
        <w:t>2.3.3. Edge.</w:t>
      </w:r>
    </w:p>
    <w:p>
      <w:pPr>
        <w:pStyle w:val="normal1"/>
        <w:spacing w:lineRule="auto" w:line="276"/>
        <w:jc w:val="both"/>
        <w:rPr>
          <w:sz w:val="20"/>
          <w:szCs w:val="20"/>
        </w:rPr>
      </w:pPr>
      <w:r>
        <w:rPr>
          <w:sz w:val="20"/>
          <w:szCs w:val="20"/>
        </w:rPr>
      </w:r>
    </w:p>
    <w:p>
      <w:pPr>
        <w:pStyle w:val="normal1"/>
        <w:spacing w:lineRule="auto" w:line="276"/>
        <w:jc w:val="both"/>
        <w:rPr>
          <w:b/>
          <w:sz w:val="20"/>
          <w:szCs w:val="20"/>
        </w:rPr>
      </w:pPr>
      <w:r>
        <w:rPr>
          <w:b/>
          <w:sz w:val="20"/>
          <w:szCs w:val="20"/>
        </w:rPr>
        <w:t>3 Estar familiarizado com as Soluções Disponibilizadas pela DTIC</w:t>
      </w:r>
    </w:p>
    <w:p>
      <w:pPr>
        <w:pStyle w:val="normal1"/>
        <w:spacing w:lineRule="auto" w:line="276"/>
        <w:jc w:val="both"/>
        <w:rPr>
          <w:b/>
          <w:sz w:val="20"/>
          <w:szCs w:val="20"/>
        </w:rPr>
      </w:pPr>
      <w:r>
        <w:rPr>
          <w:b/>
          <w:sz w:val="20"/>
          <w:szCs w:val="20"/>
        </w:rPr>
      </w:r>
    </w:p>
    <w:p>
      <w:pPr>
        <w:pStyle w:val="normal1"/>
        <w:spacing w:lineRule="auto" w:line="276"/>
        <w:jc w:val="both"/>
        <w:rPr>
          <w:sz w:val="20"/>
          <w:szCs w:val="20"/>
        </w:rPr>
      </w:pPr>
      <w:r>
        <w:rPr>
          <w:sz w:val="20"/>
          <w:szCs w:val="20"/>
        </w:rPr>
        <w:t>3.1. Armazenamento em cloud computing (nuvem);</w:t>
      </w:r>
    </w:p>
    <w:p>
      <w:pPr>
        <w:pStyle w:val="normal1"/>
        <w:spacing w:lineRule="auto" w:line="276"/>
        <w:jc w:val="both"/>
        <w:rPr>
          <w:sz w:val="20"/>
          <w:szCs w:val="20"/>
        </w:rPr>
      </w:pPr>
      <w:r>
        <w:rPr>
          <w:sz w:val="20"/>
          <w:szCs w:val="20"/>
        </w:rPr>
        <w:t>3.1.1. Google Drive (licença gratuita Workplace for Education limitada);</w:t>
      </w:r>
    </w:p>
    <w:p>
      <w:pPr>
        <w:pStyle w:val="normal1"/>
        <w:spacing w:lineRule="auto" w:line="276"/>
        <w:jc w:val="both"/>
        <w:rPr>
          <w:sz w:val="20"/>
          <w:szCs w:val="20"/>
        </w:rPr>
      </w:pPr>
      <w:r>
        <w:rPr>
          <w:sz w:val="20"/>
          <w:szCs w:val="20"/>
        </w:rPr>
        <w:t>3.1.2. Microsoft OneDrive com 1 Terabyte (licença gratuita A1 Faculty).</w:t>
      </w:r>
    </w:p>
    <w:p>
      <w:pPr>
        <w:pStyle w:val="normal1"/>
        <w:spacing w:lineRule="auto" w:line="276"/>
        <w:jc w:val="both"/>
        <w:rPr>
          <w:sz w:val="20"/>
          <w:szCs w:val="20"/>
        </w:rPr>
      </w:pPr>
      <w:r>
        <w:rPr>
          <w:sz w:val="20"/>
          <w:szCs w:val="20"/>
        </w:rPr>
        <w:t>3.2. Ferramentas de trabalho colaborativo síncrono;</w:t>
      </w:r>
    </w:p>
    <w:p>
      <w:pPr>
        <w:pStyle w:val="normal1"/>
        <w:spacing w:lineRule="auto" w:line="276"/>
        <w:jc w:val="both"/>
        <w:rPr>
          <w:sz w:val="20"/>
          <w:szCs w:val="20"/>
        </w:rPr>
      </w:pPr>
      <w:r>
        <w:rPr>
          <w:sz w:val="20"/>
          <w:szCs w:val="20"/>
        </w:rPr>
        <w:t>3.2.1. Suíte Google for Workplace;</w:t>
      </w:r>
    </w:p>
    <w:p>
      <w:pPr>
        <w:pStyle w:val="normal1"/>
        <w:spacing w:lineRule="auto" w:line="276"/>
        <w:jc w:val="both"/>
        <w:rPr>
          <w:sz w:val="20"/>
          <w:szCs w:val="20"/>
        </w:rPr>
      </w:pPr>
      <w:r>
        <w:rPr>
          <w:sz w:val="20"/>
          <w:szCs w:val="20"/>
        </w:rPr>
        <w:t>3.2.2. Microsoft Office 365.</w:t>
      </w:r>
    </w:p>
    <w:p>
      <w:pPr>
        <w:pStyle w:val="normal1"/>
        <w:spacing w:lineRule="auto" w:line="276"/>
        <w:jc w:val="both"/>
        <w:rPr>
          <w:sz w:val="20"/>
          <w:szCs w:val="20"/>
        </w:rPr>
      </w:pPr>
      <w:r>
        <w:rPr>
          <w:sz w:val="20"/>
          <w:szCs w:val="20"/>
        </w:rPr>
        <w:t>3.3. Ferramentas para reuniões virtuais;</w:t>
      </w:r>
    </w:p>
    <w:p>
      <w:pPr>
        <w:pStyle w:val="normal1"/>
        <w:spacing w:lineRule="auto" w:line="276"/>
        <w:jc w:val="both"/>
        <w:rPr>
          <w:sz w:val="20"/>
          <w:szCs w:val="20"/>
        </w:rPr>
      </w:pPr>
      <w:r>
        <w:rPr>
          <w:sz w:val="20"/>
          <w:szCs w:val="20"/>
        </w:rPr>
        <w:t>3.3.1. Google Meet (versão grátis Workplace for Education sem gravação);</w:t>
      </w:r>
    </w:p>
    <w:p>
      <w:pPr>
        <w:pStyle w:val="normal1"/>
        <w:spacing w:lineRule="auto" w:line="276"/>
        <w:jc w:val="both"/>
        <w:rPr>
          <w:sz w:val="20"/>
          <w:szCs w:val="20"/>
        </w:rPr>
      </w:pPr>
      <w:r>
        <w:rPr>
          <w:sz w:val="20"/>
          <w:szCs w:val="20"/>
        </w:rPr>
        <w:t>3.3.2. Conferência web (RNP);</w:t>
      </w:r>
    </w:p>
    <w:p>
      <w:pPr>
        <w:pStyle w:val="normal1"/>
        <w:spacing w:lineRule="auto" w:line="276"/>
        <w:jc w:val="both"/>
        <w:rPr>
          <w:sz w:val="20"/>
          <w:szCs w:val="20"/>
        </w:rPr>
      </w:pPr>
      <w:r>
        <w:rPr>
          <w:sz w:val="20"/>
          <w:szCs w:val="20"/>
        </w:rPr>
        <w:t>3.3.3. Teams (Microsoft Office com suporte até 300 pessoas e gravação);</w:t>
      </w:r>
    </w:p>
    <w:p>
      <w:pPr>
        <w:pStyle w:val="normal1"/>
        <w:spacing w:lineRule="auto" w:line="276"/>
        <w:jc w:val="both"/>
        <w:rPr>
          <w:sz w:val="20"/>
          <w:szCs w:val="20"/>
        </w:rPr>
      </w:pPr>
      <w:r>
        <w:rPr>
          <w:sz w:val="20"/>
          <w:szCs w:val="20"/>
        </w:rPr>
        <w:t>3.3.4. Webex (Cisco).</w:t>
      </w:r>
    </w:p>
    <w:p>
      <w:pPr>
        <w:pStyle w:val="normal1"/>
        <w:spacing w:lineRule="auto" w:line="276"/>
        <w:jc w:val="both"/>
        <w:rPr>
          <w:sz w:val="20"/>
          <w:szCs w:val="20"/>
        </w:rPr>
      </w:pPr>
      <w:r>
        <w:rPr>
          <w:sz w:val="20"/>
          <w:szCs w:val="20"/>
        </w:rPr>
        <w:t>3.4. Demais sistemas e serviços já disponíveis (SIG, LimeSurvey, Helios) entre outros.</w:t>
      </w:r>
    </w:p>
    <w:p>
      <w:pPr>
        <w:pStyle w:val="normal1"/>
        <w:jc w:val="both"/>
        <w:rPr>
          <w:sz w:val="20"/>
          <w:szCs w:val="20"/>
        </w:rPr>
      </w:pPr>
      <w:r>
        <w:rPr>
          <w:sz w:val="20"/>
          <w:szCs w:val="20"/>
        </w:rPr>
      </w:r>
    </w:p>
    <w:p>
      <w:pPr>
        <w:pStyle w:val="normal1"/>
        <w:spacing w:lineRule="auto" w:line="276"/>
        <w:jc w:val="left"/>
        <w:rPr>
          <w:b/>
          <w:sz w:val="20"/>
          <w:szCs w:val="20"/>
        </w:rPr>
      </w:pPr>
      <w:r>
        <w:rPr>
          <w:b/>
          <w:sz w:val="20"/>
          <w:szCs w:val="20"/>
        </w:rPr>
        <w:t>4 Segurança da Informação</w:t>
        <w:br/>
      </w:r>
    </w:p>
    <w:p>
      <w:pPr>
        <w:pStyle w:val="normal1"/>
        <w:spacing w:lineRule="auto" w:line="276"/>
        <w:jc w:val="both"/>
        <w:rPr>
          <w:sz w:val="20"/>
          <w:szCs w:val="20"/>
        </w:rPr>
      </w:pPr>
      <w:r>
        <w:rPr>
          <w:sz w:val="20"/>
          <w:szCs w:val="20"/>
        </w:rPr>
        <w:t>4.1. Os dispositivos pessoais deverão possuir solução de antivírus/antimalware instalados (em sua última versão disponível);</w:t>
      </w:r>
    </w:p>
    <w:p>
      <w:pPr>
        <w:pStyle w:val="normal1"/>
        <w:spacing w:lineRule="auto" w:line="276"/>
        <w:jc w:val="both"/>
        <w:rPr>
          <w:sz w:val="20"/>
          <w:szCs w:val="20"/>
        </w:rPr>
      </w:pPr>
      <w:r>
        <w:rPr>
          <w:sz w:val="20"/>
          <w:szCs w:val="20"/>
        </w:rPr>
        <w:t>4.2. Deverá ser realizado backup dos arquivos armazenados no dispositivo físico (HD Externo, Pen Drive, Google Drive, Microsoft OneDrive, etc), podendo utilizar ferramentas de automação de backup dos Sistemas Operacionais ou softwares como Veeam Free Agent (que faz backup de Windows e Linux em OneDrive gratuitamente);</w:t>
      </w:r>
    </w:p>
    <w:p>
      <w:pPr>
        <w:pStyle w:val="normal1"/>
        <w:widowControl w:val="false"/>
        <w:spacing w:lineRule="auto" w:line="273" w:before="200" w:after="200"/>
        <w:jc w:val="both"/>
        <w:rPr>
          <w:sz w:val="20"/>
          <w:szCs w:val="20"/>
        </w:rPr>
      </w:pPr>
      <w:r>
        <w:rPr>
          <w:sz w:val="20"/>
          <w:szCs w:val="20"/>
        </w:rPr>
        <w:t xml:space="preserve">4.3. </w:t>
      </w:r>
      <w:r>
        <w:rPr>
          <w:sz w:val="20"/>
          <w:szCs w:val="20"/>
          <w:highlight w:val="white"/>
        </w:rPr>
        <w:t>O Comitê de Governança Digital normatizará a utilização de aplicações de interação entre</w:t>
      </w:r>
      <w:r>
        <w:rPr>
          <w:sz w:val="20"/>
          <w:szCs w:val="20"/>
        </w:rPr>
        <w:t xml:space="preserve"> </w:t>
      </w:r>
      <w:r>
        <w:rPr>
          <w:sz w:val="20"/>
          <w:szCs w:val="20"/>
          <w:highlight w:val="white"/>
        </w:rPr>
        <w:t>os servidores (chat, reuniões virtuais,telefonia), armazenamento em nuvem, backup</w:t>
      </w:r>
      <w:r>
        <w:rPr>
          <w:sz w:val="20"/>
          <w:szCs w:val="20"/>
        </w:rPr>
        <w:t xml:space="preserve"> </w:t>
      </w:r>
      <w:r>
        <w:rPr>
          <w:sz w:val="20"/>
          <w:szCs w:val="20"/>
          <w:highlight w:val="white"/>
        </w:rPr>
        <w:t>pessoal, antivírus/antimalware, acesso via VPN, entre outros.</w:t>
      </w:r>
      <w:r>
        <w:rPr>
          <w:sz w:val="20"/>
          <w:szCs w:val="20"/>
        </w:rPr>
        <w:t xml:space="preserve"> </w:t>
      </w:r>
    </w:p>
    <w:p>
      <w:pPr>
        <w:pStyle w:val="normal1"/>
        <w:widowControl w:val="false"/>
        <w:spacing w:lineRule="auto" w:line="273" w:before="200" w:after="200"/>
        <w:jc w:val="both"/>
        <w:rPr>
          <w:sz w:val="20"/>
          <w:szCs w:val="20"/>
        </w:rPr>
      </w:pPr>
      <w:r>
        <w:rPr>
          <w:sz w:val="20"/>
          <w:szCs w:val="20"/>
          <w:highlight w:val="white"/>
        </w:rPr>
        <w:t>4.4 As CTICs orientarão os servidores (quando demandadas), sobre as melhores opções de</w:t>
      </w:r>
      <w:r>
        <w:rPr>
          <w:sz w:val="20"/>
          <w:szCs w:val="20"/>
        </w:rPr>
        <w:t xml:space="preserve"> </w:t>
      </w:r>
      <w:r>
        <w:rPr>
          <w:sz w:val="20"/>
          <w:szCs w:val="20"/>
          <w:highlight w:val="white"/>
        </w:rPr>
        <w:t>aplicativos e softwares para o desenvolvimento das atividades remotas.</w:t>
      </w:r>
      <w:r>
        <w:rPr>
          <w:sz w:val="20"/>
          <w:szCs w:val="20"/>
        </w:rPr>
        <w:t xml:space="preserve"> </w:t>
      </w:r>
    </w:p>
    <w:p>
      <w:pPr>
        <w:pStyle w:val="normal1"/>
        <w:widowControl w:val="false"/>
        <w:spacing w:lineRule="auto" w:line="273" w:before="200" w:after="0"/>
        <w:jc w:val="both"/>
        <w:rPr>
          <w:sz w:val="20"/>
          <w:szCs w:val="20"/>
        </w:rPr>
      </w:pPr>
      <w:r>
        <w:rPr>
          <w:sz w:val="20"/>
          <w:szCs w:val="20"/>
        </w:rPr>
        <w:t>4.5 Tendo em vista limitação legal, uma vez que a DTIC só pode atuar estritamente nas dependências do IFSC, a DTIC, somente atuará nas demandas que forem concernentes aos sistemas que o IFSC disponibilizará para o servidor executar suas atividades, de forma que em nenhum momento será fornecido suporte ou manutenção no computador pessoal do servidor em teletrabalho por parte da Diretoria de Tecnologia da Informação e Comunicação do IFSC.</w:t>
      </w:r>
    </w:p>
    <w:p>
      <w:pPr>
        <w:pStyle w:val="normal1"/>
        <w:jc w:val="both"/>
        <w:rPr>
          <w:sz w:val="20"/>
          <w:szCs w:val="20"/>
        </w:rPr>
      </w:pPr>
      <w:r>
        <w:rPr>
          <w:sz w:val="20"/>
          <w:szCs w:val="20"/>
        </w:rPr>
      </w:r>
    </w:p>
    <w:p>
      <w:pPr>
        <w:pStyle w:val="normal1"/>
        <w:spacing w:lineRule="auto" w:line="276"/>
        <w:jc w:val="left"/>
        <w:rPr>
          <w:b/>
          <w:sz w:val="20"/>
          <w:szCs w:val="20"/>
        </w:rPr>
      </w:pPr>
      <w:r>
        <w:rPr>
          <w:b/>
          <w:sz w:val="20"/>
          <w:szCs w:val="20"/>
        </w:rPr>
        <w:t>5 Infraestrutura Ergonômica</w:t>
        <w:br/>
      </w:r>
    </w:p>
    <w:p>
      <w:pPr>
        <w:pStyle w:val="normal1"/>
        <w:spacing w:lineRule="auto" w:line="276"/>
        <w:jc w:val="both"/>
        <w:rPr>
          <w:sz w:val="20"/>
          <w:szCs w:val="20"/>
        </w:rPr>
      </w:pPr>
      <w:r>
        <w:rPr>
          <w:sz w:val="20"/>
          <w:szCs w:val="20"/>
        </w:rPr>
        <w:t>5.1. Considerando que a execução das atividades se dá na posição sentada, o posto de trabalho deve proporcionar ao servidor condições de boa postura, visualização e operação, atendendo aos seguintes requisitos mínimos:</w:t>
      </w:r>
    </w:p>
    <w:p>
      <w:pPr>
        <w:pStyle w:val="normal1"/>
        <w:spacing w:lineRule="auto" w:line="276"/>
        <w:jc w:val="both"/>
        <w:rPr>
          <w:sz w:val="20"/>
          <w:szCs w:val="20"/>
        </w:rPr>
      </w:pPr>
      <w:r>
        <w:rPr>
          <w:sz w:val="20"/>
          <w:szCs w:val="20"/>
        </w:rPr>
        <w:t xml:space="preserve">5.1.1 ter altura e características da superfície de trabalho compatíveis com o tipo de atividade, com a distância requerida dos olhos ao campo de trabalho e com a altura do assento; </w:t>
      </w:r>
    </w:p>
    <w:p>
      <w:pPr>
        <w:pStyle w:val="normal1"/>
        <w:spacing w:lineRule="auto" w:line="276"/>
        <w:jc w:val="both"/>
        <w:rPr>
          <w:sz w:val="20"/>
          <w:szCs w:val="20"/>
        </w:rPr>
      </w:pPr>
      <w:r>
        <w:rPr>
          <w:sz w:val="20"/>
          <w:szCs w:val="20"/>
        </w:rPr>
        <w:t>5.1.2. ter área de trabalho de fácil alcance e visualização pelo servidor;</w:t>
      </w:r>
    </w:p>
    <w:p>
      <w:pPr>
        <w:pStyle w:val="normal1"/>
        <w:spacing w:lineRule="auto" w:line="276"/>
        <w:jc w:val="both"/>
        <w:rPr>
          <w:sz w:val="20"/>
          <w:szCs w:val="20"/>
        </w:rPr>
      </w:pPr>
      <w:r>
        <w:rPr>
          <w:sz w:val="20"/>
          <w:szCs w:val="20"/>
        </w:rPr>
        <w:t>5.1.3. ter características dimensionais que possibilitem posicionamento e movimentação adequados dos segmentos corporais.</w:t>
      </w:r>
    </w:p>
    <w:p>
      <w:pPr>
        <w:pStyle w:val="normal1"/>
        <w:spacing w:lineRule="auto" w:line="276"/>
        <w:jc w:val="both"/>
        <w:rPr>
          <w:sz w:val="20"/>
          <w:szCs w:val="20"/>
        </w:rPr>
      </w:pPr>
      <w:r>
        <w:rPr>
          <w:sz w:val="20"/>
          <w:szCs w:val="20"/>
        </w:rPr>
        <w:t>5.2 A mobília e a iluminação utilizada no local escolhido como escritório, em sua residência, deve atender as especificações constantes na Norma Regulamentadora de Segurança e Saúde no trabalho, NR 17 - Ergonomia e suas alterações.</w:t>
      </w:r>
    </w:p>
    <w:p>
      <w:pPr>
        <w:pStyle w:val="normal1"/>
        <w:widowControl w:val="false"/>
        <w:spacing w:lineRule="auto" w:line="276" w:before="181" w:after="0"/>
        <w:jc w:val="both"/>
        <w:rPr>
          <w:sz w:val="20"/>
          <w:szCs w:val="20"/>
        </w:rPr>
      </w:pPr>
      <w:r>
        <w:rPr>
          <w:sz w:val="20"/>
          <w:szCs w:val="20"/>
        </w:rPr>
        <w:t xml:space="preserve">A mobília e a iluminação utilizada no local escolhido como escritório, em sua residência, deve atender as especificações constantes na Norma Regulamentadora de Segurança e Saúde no trabalho, NR 17 - ERGONOMIA, que pode ser acessado pelo link </w:t>
      </w:r>
      <w:hyperlink r:id="rId2">
        <w:r>
          <w:rPr>
            <w:rStyle w:val="Style3"/>
            <w:color w:val="1155CC"/>
            <w:sz w:val="20"/>
            <w:szCs w:val="20"/>
            <w:u w:val="single"/>
          </w:rPr>
          <w:t>https://www.gov.br/trabalho-e-emprego/pt-br/acesso-a-informacao/participacao-social/conselhos-e-orgaos-colegiados/comissao-tripartite-partitaria-permanente/arquivos/normas-regulamentadoras/nr-17-atualizada-2022.pdf</w:t>
        </w:r>
      </w:hyperlink>
      <w:r>
        <w:rPr>
          <w:sz w:val="20"/>
          <w:szCs w:val="20"/>
        </w:rPr>
        <w:t xml:space="preserve"> , e suas futuras alterações. </w:t>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jc w:val="both"/>
        <w:rPr>
          <w:sz w:val="20"/>
          <w:szCs w:val="20"/>
        </w:rPr>
      </w:pPr>
      <w:r>
        <w:rPr>
          <w:sz w:val="20"/>
          <w:szCs w:val="20"/>
        </w:rPr>
      </w:r>
    </w:p>
    <w:p>
      <w:pPr>
        <w:pStyle w:val="normal1"/>
        <w:spacing w:lineRule="auto" w:line="276"/>
        <w:jc w:val="center"/>
        <w:rPr>
          <w:sz w:val="20"/>
          <w:szCs w:val="20"/>
        </w:rPr>
      </w:pPr>
      <w:r>
        <w:rPr>
          <w:sz w:val="20"/>
          <w:szCs w:val="20"/>
        </w:rPr>
      </w:r>
    </w:p>
    <w:p>
      <w:pPr>
        <w:pStyle w:val="normal1"/>
        <w:spacing w:lineRule="auto" w:line="276"/>
        <w:jc w:val="center"/>
        <w:rPr>
          <w:b/>
          <w:sz w:val="20"/>
          <w:szCs w:val="20"/>
        </w:rPr>
      </w:pPr>
      <w:r>
        <w:rPr>
          <w:b/>
          <w:sz w:val="20"/>
          <w:szCs w:val="20"/>
        </w:rPr>
        <w:t>ANEXO III</w:t>
      </w:r>
    </w:p>
    <w:p>
      <w:pPr>
        <w:pStyle w:val="normal1"/>
        <w:widowControl w:val="false"/>
        <w:spacing w:lineRule="auto" w:line="199" w:before="580" w:after="0"/>
        <w:jc w:val="both"/>
        <w:rPr>
          <w:b/>
          <w:color w:val="00000A"/>
          <w:sz w:val="20"/>
          <w:szCs w:val="20"/>
        </w:rPr>
      </w:pPr>
      <w:r>
        <w:rPr>
          <w:b/>
          <w:color w:val="00000A"/>
          <w:sz w:val="20"/>
          <w:szCs w:val="20"/>
          <w:highlight w:val="white"/>
        </w:rPr>
        <w:t>FORMULÁRIO PARA RECURSO</w:t>
      </w:r>
      <w:r>
        <w:rPr>
          <w:b/>
          <w:color w:val="00000A"/>
          <w:sz w:val="20"/>
          <w:szCs w:val="20"/>
        </w:rPr>
        <w:t xml:space="preserve"> </w:t>
      </w:r>
    </w:p>
    <w:tbl>
      <w:tblPr>
        <w:tblStyle w:val="Table1"/>
        <w:tblW w:w="9832" w:type="dxa"/>
        <w:jc w:val="left"/>
        <w:tblInd w:w="0" w:type="dxa"/>
        <w:tblLayout w:type="fixed"/>
        <w:tblCellMar>
          <w:top w:w="100" w:type="dxa"/>
          <w:left w:w="100" w:type="dxa"/>
          <w:bottom w:w="100" w:type="dxa"/>
          <w:right w:w="100" w:type="dxa"/>
        </w:tblCellMar>
        <w:tblLook w:val="0600"/>
      </w:tblPr>
      <w:tblGrid>
        <w:gridCol w:w="3746"/>
        <w:gridCol w:w="6085"/>
      </w:tblGrid>
      <w:tr>
        <w:trPr>
          <w:trHeight w:val="344" w:hRule="atLeast"/>
        </w:trPr>
        <w:tc>
          <w:tcPr>
            <w:tcW w:w="3746"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hanging="0" w:left="140"/>
              <w:rPr>
                <w:color w:val="00000A"/>
                <w:sz w:val="20"/>
                <w:szCs w:val="20"/>
                <w:highlight w:val="white"/>
              </w:rPr>
            </w:pPr>
            <w:r>
              <w:rPr>
                <w:color w:val="00000A"/>
                <w:sz w:val="20"/>
                <w:szCs w:val="20"/>
                <w:highlight w:val="white"/>
              </w:rPr>
              <w:t>Nome completo do servidor:</w:t>
            </w:r>
          </w:p>
        </w:tc>
        <w:tc>
          <w:tcPr>
            <w:tcW w:w="608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jc w:val="both"/>
              <w:rPr>
                <w:color w:val="00000A"/>
                <w:sz w:val="20"/>
                <w:szCs w:val="20"/>
                <w:highlight w:val="white"/>
              </w:rPr>
            </w:pPr>
            <w:r>
              <w:rPr>
                <w:color w:val="00000A"/>
                <w:sz w:val="20"/>
                <w:szCs w:val="20"/>
                <w:highlight w:val="white"/>
              </w:rPr>
            </w:r>
          </w:p>
        </w:tc>
      </w:tr>
      <w:tr>
        <w:trPr>
          <w:trHeight w:val="735" w:hRule="atLeast"/>
        </w:trPr>
        <w:tc>
          <w:tcPr>
            <w:tcW w:w="3746"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73"/>
              <w:ind w:firstLine="10" w:left="130" w:right="411"/>
              <w:rPr>
                <w:color w:val="00000A"/>
                <w:sz w:val="20"/>
                <w:szCs w:val="20"/>
                <w:highlight w:val="white"/>
              </w:rPr>
            </w:pPr>
            <w:r>
              <w:rPr>
                <w:color w:val="00000A"/>
                <w:sz w:val="20"/>
                <w:szCs w:val="20"/>
                <w:highlight w:val="white"/>
              </w:rPr>
              <w:t>Câmpus de Exercício</w:t>
            </w:r>
            <w:r>
              <w:rPr>
                <w:color w:val="00000A"/>
                <w:sz w:val="20"/>
                <w:szCs w:val="20"/>
              </w:rPr>
              <w:t xml:space="preserve"> </w:t>
            </w:r>
            <w:r>
              <w:rPr>
                <w:color w:val="00000A"/>
                <w:sz w:val="20"/>
                <w:szCs w:val="20"/>
                <w:highlight w:val="white"/>
              </w:rPr>
              <w:t>atual:</w:t>
            </w:r>
          </w:p>
        </w:tc>
        <w:tc>
          <w:tcPr>
            <w:tcW w:w="608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jc w:val="both"/>
              <w:rPr>
                <w:color w:val="00000A"/>
                <w:sz w:val="20"/>
                <w:szCs w:val="20"/>
                <w:highlight w:val="white"/>
              </w:rPr>
            </w:pPr>
            <w:r>
              <w:rPr>
                <w:color w:val="00000A"/>
                <w:sz w:val="20"/>
                <w:szCs w:val="20"/>
                <w:highlight w:val="white"/>
              </w:rPr>
            </w:r>
          </w:p>
        </w:tc>
      </w:tr>
      <w:tr>
        <w:trPr>
          <w:trHeight w:val="405" w:hRule="atLeast"/>
        </w:trPr>
        <w:tc>
          <w:tcPr>
            <w:tcW w:w="3746"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hanging="0" w:left="133"/>
              <w:rPr>
                <w:color w:val="00000A"/>
                <w:sz w:val="20"/>
                <w:szCs w:val="20"/>
                <w:highlight w:val="white"/>
              </w:rPr>
            </w:pPr>
            <w:r>
              <w:rPr>
                <w:color w:val="00000A"/>
                <w:sz w:val="20"/>
                <w:szCs w:val="20"/>
                <w:highlight w:val="white"/>
              </w:rPr>
              <w:t>Objeto do recurso:</w:t>
            </w:r>
          </w:p>
        </w:tc>
        <w:tc>
          <w:tcPr>
            <w:tcW w:w="608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jc w:val="both"/>
              <w:rPr>
                <w:color w:val="00000A"/>
                <w:sz w:val="20"/>
                <w:szCs w:val="20"/>
                <w:highlight w:val="white"/>
              </w:rPr>
            </w:pPr>
            <w:r>
              <w:rPr>
                <w:color w:val="00000A"/>
                <w:sz w:val="20"/>
                <w:szCs w:val="20"/>
                <w:highlight w:val="white"/>
              </w:rPr>
            </w:r>
          </w:p>
        </w:tc>
      </w:tr>
    </w:tbl>
    <w:p>
      <w:pPr>
        <w:pStyle w:val="normal1"/>
        <w:widowControl w:val="false"/>
        <w:jc w:val="both"/>
        <w:rPr>
          <w:sz w:val="20"/>
          <w:szCs w:val="20"/>
        </w:rPr>
      </w:pPr>
      <w:r>
        <w:rPr>
          <w:sz w:val="20"/>
          <w:szCs w:val="20"/>
        </w:rPr>
      </w:r>
    </w:p>
    <w:p>
      <w:pPr>
        <w:pStyle w:val="normal1"/>
        <w:widowControl w:val="false"/>
        <w:spacing w:lineRule="auto" w:line="199"/>
        <w:jc w:val="both"/>
        <w:rPr>
          <w:b/>
          <w:color w:val="00000A"/>
          <w:sz w:val="20"/>
          <w:szCs w:val="20"/>
        </w:rPr>
      </w:pPr>
      <w:r>
        <w:rPr>
          <w:b/>
          <w:color w:val="00000A"/>
          <w:sz w:val="20"/>
          <w:szCs w:val="20"/>
          <w:highlight w:val="white"/>
        </w:rPr>
        <w:t>Recurso do Edital:</w:t>
      </w:r>
      <w:r>
        <w:rPr>
          <w:b/>
          <w:color w:val="00000A"/>
          <w:sz w:val="20"/>
          <w:szCs w:val="20"/>
        </w:rPr>
        <w:t xml:space="preserve"> </w:t>
      </w:r>
    </w:p>
    <w:p>
      <w:pPr>
        <w:pStyle w:val="normal1"/>
        <w:widowControl w:val="false"/>
        <w:spacing w:lineRule="auto" w:line="475" w:before="200" w:after="0"/>
        <w:jc w:val="both"/>
        <w:rPr>
          <w:color w:val="00000A"/>
          <w:sz w:val="20"/>
          <w:szCs w:val="20"/>
        </w:rPr>
      </w:pPr>
      <w:r>
        <w:rPr>
          <w:color w:val="00000A"/>
          <w:sz w:val="20"/>
          <w:szCs w:val="20"/>
          <w:highlight w:val="white"/>
        </w:rPr>
        <w:t>( ) Referente à 1ª opção de escolha – Regime Parcial ou Integral</w:t>
      </w:r>
      <w:r>
        <w:rPr>
          <w:color w:val="00000A"/>
          <w:sz w:val="20"/>
          <w:szCs w:val="20"/>
        </w:rPr>
        <w:t xml:space="preserve"> </w:t>
      </w:r>
    </w:p>
    <w:p>
      <w:pPr>
        <w:pStyle w:val="normal1"/>
        <w:widowControl w:val="false"/>
        <w:spacing w:lineRule="auto" w:line="475"/>
        <w:jc w:val="both"/>
        <w:rPr>
          <w:color w:val="00000A"/>
          <w:sz w:val="20"/>
          <w:szCs w:val="20"/>
        </w:rPr>
      </w:pPr>
      <w:r>
        <w:rPr>
          <w:color w:val="00000A"/>
          <w:sz w:val="20"/>
          <w:szCs w:val="20"/>
          <w:highlight w:val="white"/>
        </w:rPr>
        <w:t>( ) Referente à 2ª opção de escolha – Regime Parcial ou Integral</w:t>
      </w:r>
      <w:r>
        <w:rPr>
          <w:color w:val="00000A"/>
          <w:sz w:val="20"/>
          <w:szCs w:val="20"/>
        </w:rPr>
        <w:t xml:space="preserve"> </w:t>
      </w:r>
    </w:p>
    <w:p>
      <w:pPr>
        <w:pStyle w:val="normal1"/>
        <w:widowControl w:val="false"/>
        <w:spacing w:lineRule="auto" w:line="199" w:before="55" w:after="0"/>
        <w:jc w:val="both"/>
        <w:rPr>
          <w:b/>
          <w:color w:val="00000A"/>
          <w:sz w:val="20"/>
          <w:szCs w:val="20"/>
        </w:rPr>
      </w:pPr>
      <w:r>
        <w:rPr>
          <w:b/>
          <w:color w:val="00000A"/>
          <w:sz w:val="20"/>
          <w:szCs w:val="20"/>
          <w:highlight w:val="white"/>
        </w:rPr>
        <w:t>FUNDAMENTAÇÃO E ARGUMENTAÇÃO LÓGICA DO RECURSO:</w:t>
      </w:r>
      <w:r>
        <w:rPr>
          <w:b/>
          <w:color w:val="00000A"/>
          <w:sz w:val="20"/>
          <w:szCs w:val="20"/>
        </w:rPr>
        <w:t xml:space="preserve"> </w:t>
      </w:r>
    </w:p>
    <w:p>
      <w:pPr>
        <w:pStyle w:val="normal1"/>
        <w:widowControl w:val="false"/>
        <w:spacing w:lineRule="auto" w:line="273" w:before="50" w:after="0"/>
        <w:jc w:val="both"/>
        <w:rPr>
          <w:color w:val="00000A"/>
          <w:sz w:val="20"/>
          <w:szCs w:val="20"/>
        </w:rPr>
      </w:pPr>
      <w:r>
        <w:rPr>
          <w:color w:val="00000A"/>
          <w:sz w:val="20"/>
          <w:szCs w:val="20"/>
        </w:rPr>
        <w:t>_</w:t>
      </w:r>
      <w:r>
        <w:rPr>
          <w:color w:val="00000A"/>
          <w:sz w:val="20"/>
          <w:szCs w:val="20"/>
          <w:highlight w:val="white"/>
        </w:rPr>
        <w:t>_______________________________________________________________________</w:t>
      </w:r>
      <w:r>
        <w:rPr>
          <w:color w:val="00000A"/>
          <w:sz w:val="20"/>
          <w:szCs w:val="20"/>
        </w:rPr>
        <w:t>__</w:t>
      </w:r>
      <w:r>
        <w:rPr>
          <w:color w:val="00000A"/>
          <w:sz w:val="20"/>
          <w:szCs w:val="20"/>
          <w:highlight w:val="white"/>
        </w:rPr>
        <w:t>_______________________________________________________________________</w:t>
      </w:r>
      <w:r>
        <w:rPr>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A"/>
          <w:sz w:val="20"/>
          <w:szCs w:val="20"/>
          <w:highlight w:val="white"/>
        </w:rPr>
        <w:t>_______________________________________________________________________</w:t>
      </w:r>
      <w:r>
        <w:rPr>
          <w:color w:val="00000A"/>
          <w:sz w:val="20"/>
          <w:szCs w:val="20"/>
        </w:rPr>
        <w:t>_</w:t>
      </w:r>
      <w:r>
        <w:rPr>
          <w:color w:val="00000A"/>
          <w:sz w:val="20"/>
          <w:szCs w:val="20"/>
          <w:highlight w:val="white"/>
        </w:rPr>
        <w:t>_______________________________________________________________________</w:t>
      </w:r>
      <w:r>
        <w:rPr>
          <w:color w:val="00000A"/>
          <w:sz w:val="20"/>
          <w:szCs w:val="20"/>
        </w:rPr>
        <w:t>_</w:t>
      </w:r>
    </w:p>
    <w:p>
      <w:pPr>
        <w:pStyle w:val="normal1"/>
        <w:widowControl w:val="false"/>
        <w:spacing w:lineRule="auto" w:line="199" w:before="824" w:after="0"/>
        <w:jc w:val="center"/>
        <w:rPr>
          <w:color w:val="00000A"/>
          <w:sz w:val="20"/>
          <w:szCs w:val="20"/>
        </w:rPr>
      </w:pPr>
      <w:r>
        <w:rPr>
          <w:color w:val="00000A"/>
          <w:sz w:val="20"/>
          <w:szCs w:val="20"/>
          <w:highlight w:val="white"/>
        </w:rPr>
        <w:t>Local ________________________, _______ de __________________ de __________.</w:t>
      </w:r>
      <w:r>
        <w:rPr>
          <w:color w:val="00000A"/>
          <w:sz w:val="20"/>
          <w:szCs w:val="20"/>
        </w:rPr>
        <w:t xml:space="preserve"> </w:t>
      </w:r>
    </w:p>
    <w:p>
      <w:pPr>
        <w:pStyle w:val="normal1"/>
        <w:widowControl w:val="false"/>
        <w:spacing w:lineRule="auto" w:line="199" w:before="824" w:after="0"/>
        <w:jc w:val="center"/>
        <w:rPr>
          <w:color w:val="00000A"/>
          <w:sz w:val="20"/>
          <w:szCs w:val="20"/>
        </w:rPr>
      </w:pPr>
      <w:r>
        <w:rPr>
          <w:color w:val="00000A"/>
          <w:sz w:val="20"/>
          <w:szCs w:val="20"/>
        </w:rPr>
        <w:t>_</w:t>
      </w:r>
      <w:r>
        <w:rPr>
          <w:color w:val="00000A"/>
          <w:sz w:val="20"/>
          <w:szCs w:val="20"/>
          <w:highlight w:val="white"/>
        </w:rPr>
        <w:t>_________________________________________________</w:t>
      </w:r>
      <w:r>
        <w:rPr>
          <w:color w:val="00000A"/>
          <w:sz w:val="20"/>
          <w:szCs w:val="20"/>
        </w:rPr>
        <w:t xml:space="preserve"> </w:t>
      </w:r>
    </w:p>
    <w:p>
      <w:pPr>
        <w:pStyle w:val="normal1"/>
        <w:widowControl w:val="false"/>
        <w:spacing w:lineRule="auto" w:line="199" w:before="50" w:after="0"/>
        <w:jc w:val="center"/>
        <w:rPr>
          <w:b/>
          <w:color w:val="00000A"/>
          <w:sz w:val="20"/>
          <w:szCs w:val="20"/>
        </w:rPr>
      </w:pPr>
      <w:r>
        <w:rPr>
          <w:b/>
          <w:color w:val="00000A"/>
          <w:sz w:val="20"/>
          <w:szCs w:val="20"/>
          <w:highlight w:val="white"/>
        </w:rPr>
        <w:t>(assinatura / autenticação ou nome legível)</w:t>
      </w:r>
      <w:r>
        <w:rPr>
          <w:b/>
          <w:color w:val="00000A"/>
          <w:sz w:val="20"/>
          <w:szCs w:val="20"/>
        </w:rPr>
        <w:t xml:space="preserve"> </w:t>
      </w:r>
    </w:p>
    <w:p>
      <w:pPr>
        <w:pStyle w:val="normal1"/>
        <w:spacing w:lineRule="auto" w:line="276"/>
        <w:jc w:val="center"/>
        <w:rPr>
          <w:b/>
          <w:sz w:val="20"/>
          <w:szCs w:val="20"/>
        </w:rPr>
      </w:pPr>
      <w:r>
        <w:rPr>
          <w:b/>
          <w:sz w:val="20"/>
          <w:szCs w:val="20"/>
        </w:rPr>
      </w:r>
    </w:p>
    <w:p>
      <w:pPr>
        <w:pStyle w:val="normal1"/>
        <w:widowControl w:val="false"/>
        <w:spacing w:lineRule="auto" w:line="199" w:before="245" w:after="0"/>
        <w:jc w:val="both"/>
        <w:rPr>
          <w:b/>
          <w:color w:val="00000A"/>
          <w:sz w:val="20"/>
          <w:szCs w:val="20"/>
        </w:rPr>
      </w:pPr>
      <w:r>
        <w:rPr>
          <w:b/>
          <w:color w:val="00000A"/>
          <w:sz w:val="20"/>
          <w:szCs w:val="20"/>
          <w:highlight w:val="white"/>
        </w:rPr>
        <w:t>Servidor requerente</w:t>
      </w:r>
      <w:r>
        <w:rPr>
          <w:b/>
          <w:color w:val="00000A"/>
          <w:sz w:val="20"/>
          <w:szCs w:val="20"/>
        </w:rPr>
        <w:t xml:space="preserve"> </w:t>
      </w:r>
    </w:p>
    <w:p>
      <w:pPr>
        <w:pStyle w:val="normal1"/>
        <w:widowControl w:val="false"/>
        <w:spacing w:lineRule="auto" w:line="199" w:before="245" w:after="0"/>
        <w:jc w:val="both"/>
        <w:rPr>
          <w:b/>
          <w:color w:val="00000A"/>
          <w:sz w:val="20"/>
          <w:szCs w:val="20"/>
        </w:rPr>
      </w:pPr>
      <w:r>
        <w:rPr>
          <w:b/>
          <w:color w:val="00000A"/>
          <w:sz w:val="20"/>
          <w:szCs w:val="20"/>
        </w:rPr>
      </w:r>
    </w:p>
    <w:p>
      <w:pPr>
        <w:pStyle w:val="normal1"/>
        <w:widowControl w:val="false"/>
        <w:spacing w:lineRule="auto" w:line="273"/>
        <w:jc w:val="both"/>
        <w:rPr>
          <w:b/>
          <w:sz w:val="20"/>
          <w:szCs w:val="20"/>
        </w:rPr>
      </w:pPr>
      <w:r>
        <w:rPr>
          <w:sz w:val="20"/>
          <w:szCs w:val="20"/>
          <w:highlight w:val="white"/>
        </w:rPr>
        <w:t>O recurso deve ser enviado para o email: direçã</w:t>
      </w:r>
      <w:hyperlink r:id="rId3">
        <w:r>
          <w:rPr>
            <w:rStyle w:val="Style3"/>
            <w:sz w:val="20"/>
            <w:szCs w:val="20"/>
            <w:highlight w:val="white"/>
          </w:rPr>
          <w:t>o.urupema@ifsc.edu.br</w:t>
        </w:r>
      </w:hyperlink>
      <w:r>
        <w:rPr>
          <w:sz w:val="20"/>
          <w:szCs w:val="20"/>
          <w:highlight w:val="white"/>
        </w:rPr>
        <w:t>; com cópia para, pgd.urp@ifsc.edu.br, com o título:</w:t>
      </w:r>
      <w:r>
        <w:rPr>
          <w:sz w:val="20"/>
          <w:szCs w:val="20"/>
        </w:rPr>
        <w:t xml:space="preserve"> </w:t>
      </w:r>
      <w:r>
        <w:rPr>
          <w:b/>
          <w:sz w:val="20"/>
          <w:szCs w:val="20"/>
          <w:highlight w:val="white"/>
        </w:rPr>
        <w:t>Recurso Edital Teletrabalho</w:t>
      </w:r>
      <w:r>
        <w:rPr>
          <w:b/>
          <w:sz w:val="20"/>
          <w:szCs w:val="20"/>
        </w:rPr>
        <w:t>.</w:t>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b/>
          <w:sz w:val="20"/>
          <w:szCs w:val="20"/>
        </w:rPr>
      </w:pPr>
      <w:r>
        <w:rPr>
          <w:b/>
          <w:sz w:val="20"/>
          <w:szCs w:val="20"/>
        </w:rPr>
        <w:t>ANEXO IV</w:t>
      </w:r>
    </w:p>
    <w:p>
      <w:pPr>
        <w:pStyle w:val="normal1"/>
        <w:spacing w:lineRule="auto" w:line="276"/>
        <w:jc w:val="center"/>
        <w:rPr>
          <w:b/>
          <w:sz w:val="20"/>
          <w:szCs w:val="20"/>
        </w:rPr>
      </w:pPr>
      <w:r>
        <w:rPr>
          <w:b/>
          <w:sz w:val="20"/>
          <w:szCs w:val="20"/>
        </w:rPr>
      </w:r>
    </w:p>
    <w:p>
      <w:pPr>
        <w:pStyle w:val="normal1"/>
        <w:widowControl w:val="false"/>
        <w:spacing w:lineRule="auto" w:line="278" w:before="83" w:after="0"/>
        <w:jc w:val="both"/>
        <w:rPr>
          <w:b/>
          <w:sz w:val="20"/>
          <w:szCs w:val="20"/>
        </w:rPr>
      </w:pPr>
      <w:r>
        <w:rPr>
          <w:b/>
          <w:color w:val="00000A"/>
          <w:sz w:val="20"/>
          <w:szCs w:val="20"/>
          <w:highlight w:val="white"/>
        </w:rPr>
        <w:t>EDITAL nº 01/2025 – Seleção de servidores para participar do Programa de Gestão e Desempenho</w:t>
      </w:r>
      <w:r>
        <w:rPr>
          <w:b/>
          <w:color w:val="00000A"/>
          <w:sz w:val="20"/>
          <w:szCs w:val="20"/>
        </w:rPr>
        <w:t xml:space="preserve"> </w:t>
      </w:r>
      <w:r>
        <w:rPr>
          <w:b/>
          <w:sz w:val="20"/>
          <w:szCs w:val="20"/>
          <w:highlight w:val="white"/>
        </w:rPr>
        <w:t>em Desempenho do</w:t>
      </w:r>
      <w:r>
        <w:rPr>
          <w:b/>
          <w:color w:val="00000A"/>
          <w:sz w:val="20"/>
          <w:szCs w:val="20"/>
          <w:highlight w:val="white"/>
        </w:rPr>
        <w:t xml:space="preserve"> IFSC</w:t>
      </w:r>
      <w:r>
        <w:rPr>
          <w:b/>
          <w:color w:val="00000A"/>
          <w:sz w:val="20"/>
          <w:szCs w:val="20"/>
        </w:rPr>
        <w:t xml:space="preserve"> </w:t>
      </w:r>
    </w:p>
    <w:p>
      <w:pPr>
        <w:pStyle w:val="normal1"/>
        <w:spacing w:lineRule="auto" w:line="276"/>
        <w:jc w:val="center"/>
        <w:rPr>
          <w:b/>
          <w:sz w:val="20"/>
          <w:szCs w:val="20"/>
          <w:highlight w:val="white"/>
          <w:u w:val="single"/>
        </w:rPr>
      </w:pPr>
      <w:r>
        <w:rPr>
          <w:b/>
          <w:sz w:val="20"/>
          <w:szCs w:val="20"/>
          <w:highlight w:val="white"/>
          <w:u w:val="single"/>
        </w:rPr>
        <w:t xml:space="preserve">Cronograma </w:t>
      </w:r>
    </w:p>
    <w:p>
      <w:pPr>
        <w:pStyle w:val="normal1"/>
        <w:spacing w:lineRule="auto" w:line="276"/>
        <w:jc w:val="both"/>
        <w:rPr>
          <w:sz w:val="20"/>
          <w:szCs w:val="20"/>
        </w:rPr>
      </w:pPr>
      <w:r>
        <w:rPr>
          <w:sz w:val="20"/>
          <w:szCs w:val="20"/>
        </w:rPr>
      </w:r>
    </w:p>
    <w:tbl>
      <w:tblPr>
        <w:tblStyle w:val="Table2"/>
        <w:tblW w:w="9060" w:type="dxa"/>
        <w:jc w:val="left"/>
        <w:tblInd w:w="99" w:type="dxa"/>
        <w:tblLayout w:type="fixed"/>
        <w:tblCellMar>
          <w:top w:w="100" w:type="dxa"/>
          <w:left w:w="100" w:type="dxa"/>
          <w:bottom w:w="100" w:type="dxa"/>
          <w:right w:w="100" w:type="dxa"/>
        </w:tblCellMar>
        <w:tblLook w:val="0600"/>
      </w:tblPr>
      <w:tblGrid>
        <w:gridCol w:w="6087"/>
        <w:gridCol w:w="2972"/>
      </w:tblGrid>
      <w:tr>
        <w:trPr/>
        <w:tc>
          <w:tcPr>
            <w:tcW w:w="6087" w:type="dxa"/>
            <w:tcBorders>
              <w:top w:val="single" w:sz="8" w:space="0" w:color="000000"/>
              <w:left w:val="single" w:sz="8" w:space="0" w:color="000000"/>
              <w:bottom w:val="single" w:sz="8" w:space="0" w:color="000000"/>
              <w:right w:val="single" w:sz="8" w:space="0" w:color="000000"/>
            </w:tcBorders>
            <w:shd w:fill="D9D9D9" w:val="clear"/>
          </w:tcPr>
          <w:p>
            <w:pPr>
              <w:pStyle w:val="normal1"/>
              <w:widowControl w:val="false"/>
              <w:spacing w:lineRule="auto" w:line="240"/>
              <w:jc w:val="center"/>
              <w:rPr>
                <w:b/>
                <w:sz w:val="20"/>
                <w:szCs w:val="20"/>
              </w:rPr>
            </w:pPr>
            <w:r>
              <w:rPr>
                <w:b/>
                <w:sz w:val="20"/>
                <w:szCs w:val="20"/>
              </w:rPr>
              <w:t>Etapas</w:t>
            </w:r>
          </w:p>
        </w:tc>
        <w:tc>
          <w:tcPr>
            <w:tcW w:w="2972" w:type="dxa"/>
            <w:tcBorders>
              <w:top w:val="single" w:sz="8" w:space="0" w:color="000000"/>
              <w:left w:val="single" w:sz="8" w:space="0" w:color="000000"/>
              <w:bottom w:val="single" w:sz="8" w:space="0" w:color="000000"/>
              <w:right w:val="single" w:sz="8" w:space="0" w:color="000000"/>
            </w:tcBorders>
            <w:shd w:fill="D9D9D9" w:val="clear"/>
          </w:tcPr>
          <w:p>
            <w:pPr>
              <w:pStyle w:val="normal1"/>
              <w:widowControl w:val="false"/>
              <w:spacing w:lineRule="auto" w:line="240"/>
              <w:jc w:val="center"/>
              <w:rPr>
                <w:b/>
                <w:sz w:val="20"/>
                <w:szCs w:val="20"/>
              </w:rPr>
            </w:pPr>
            <w:r>
              <w:rPr>
                <w:b/>
                <w:sz w:val="20"/>
                <w:szCs w:val="20"/>
              </w:rPr>
              <w:t>Prazos</w:t>
            </w:r>
          </w:p>
        </w:tc>
      </w:tr>
      <w:tr>
        <w:trPr/>
        <w:tc>
          <w:tcPr>
            <w:tcW w:w="6087"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t>Publicação da chamada e inscrições</w:t>
            </w:r>
          </w:p>
        </w:tc>
        <w:tc>
          <w:tcPr>
            <w:tcW w:w="297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sz w:val="20"/>
                <w:szCs w:val="20"/>
              </w:rPr>
            </w:pPr>
            <w:r>
              <w:rPr>
                <w:sz w:val="20"/>
                <w:szCs w:val="20"/>
              </w:rPr>
              <w:t>4 dias úteis</w:t>
            </w:r>
          </w:p>
        </w:tc>
      </w:tr>
      <w:tr>
        <w:trPr/>
        <w:tc>
          <w:tcPr>
            <w:tcW w:w="6087"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t>Resultado preliminar</w:t>
            </w:r>
          </w:p>
        </w:tc>
        <w:tc>
          <w:tcPr>
            <w:tcW w:w="297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sz w:val="20"/>
                <w:szCs w:val="20"/>
              </w:rPr>
            </w:pPr>
            <w:r>
              <w:rPr>
                <w:sz w:val="20"/>
                <w:szCs w:val="20"/>
              </w:rPr>
              <w:t>1 dia útil</w:t>
            </w:r>
          </w:p>
        </w:tc>
      </w:tr>
      <w:tr>
        <w:trPr/>
        <w:tc>
          <w:tcPr>
            <w:tcW w:w="6087"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t>Recursos</w:t>
            </w:r>
          </w:p>
        </w:tc>
        <w:tc>
          <w:tcPr>
            <w:tcW w:w="297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sz w:val="20"/>
                <w:szCs w:val="20"/>
              </w:rPr>
            </w:pPr>
            <w:r>
              <w:rPr>
                <w:sz w:val="20"/>
                <w:szCs w:val="20"/>
              </w:rPr>
              <w:t>1 dia útil</w:t>
            </w:r>
          </w:p>
        </w:tc>
      </w:tr>
      <w:tr>
        <w:trPr/>
        <w:tc>
          <w:tcPr>
            <w:tcW w:w="6087"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t>Resultado dos recursos</w:t>
            </w:r>
          </w:p>
        </w:tc>
        <w:tc>
          <w:tcPr>
            <w:tcW w:w="297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sz w:val="20"/>
                <w:szCs w:val="20"/>
              </w:rPr>
            </w:pPr>
            <w:r>
              <w:rPr>
                <w:sz w:val="20"/>
                <w:szCs w:val="20"/>
              </w:rPr>
              <w:t>1 dia útil</w:t>
            </w:r>
          </w:p>
        </w:tc>
      </w:tr>
      <w:tr>
        <w:trPr/>
        <w:tc>
          <w:tcPr>
            <w:tcW w:w="6087"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t>Resultado final (homologação)</w:t>
            </w:r>
          </w:p>
        </w:tc>
        <w:tc>
          <w:tcPr>
            <w:tcW w:w="297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sz w:val="20"/>
                <w:szCs w:val="20"/>
              </w:rPr>
            </w:pPr>
            <w:r>
              <w:rPr>
                <w:sz w:val="20"/>
                <w:szCs w:val="20"/>
              </w:rPr>
              <w:t>1 dia útil</w:t>
            </w:r>
          </w:p>
        </w:tc>
      </w:tr>
      <w:tr>
        <w:trPr/>
        <w:tc>
          <w:tcPr>
            <w:tcW w:w="6087"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t>Início do processo com as assinaturas dos termos de adesão</w:t>
            </w:r>
          </w:p>
        </w:tc>
        <w:tc>
          <w:tcPr>
            <w:tcW w:w="297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sz w:val="20"/>
                <w:szCs w:val="20"/>
              </w:rPr>
            </w:pPr>
            <w:r>
              <w:rPr>
                <w:sz w:val="20"/>
                <w:szCs w:val="20"/>
              </w:rPr>
              <w:t>2 dia útil</w:t>
            </w:r>
          </w:p>
        </w:tc>
      </w:tr>
      <w:tr>
        <w:trPr/>
        <w:tc>
          <w:tcPr>
            <w:tcW w:w="6087"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t>Emissão da portaria</w:t>
            </w:r>
          </w:p>
        </w:tc>
        <w:tc>
          <w:tcPr>
            <w:tcW w:w="2972"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sz w:val="20"/>
                <w:szCs w:val="20"/>
              </w:rPr>
            </w:pPr>
            <w:r>
              <w:rPr>
                <w:sz w:val="20"/>
                <w:szCs w:val="20"/>
              </w:rPr>
              <w:t>1 dia útil</w:t>
            </w:r>
          </w:p>
        </w:tc>
      </w:tr>
    </w:tbl>
    <w:p>
      <w:pPr>
        <w:pStyle w:val="normal1"/>
        <w:spacing w:lineRule="auto" w:line="276" w:before="240" w:after="0"/>
        <w:jc w:val="both"/>
        <w:rPr>
          <w:sz w:val="20"/>
          <w:szCs w:val="20"/>
        </w:rPr>
      </w:pPr>
      <w:r>
        <w:rPr>
          <w:sz w:val="20"/>
          <w:szCs w:val="20"/>
        </w:rPr>
        <w:t>Observação: O servidor selecionado poderá iniciar as atividades em trabalho remoto somente após emissão da portaria.</w:t>
      </w:r>
    </w:p>
    <w:p>
      <w:pPr>
        <w:pStyle w:val="normal1"/>
        <w:spacing w:lineRule="auto" w:line="276"/>
        <w:rPr>
          <w:sz w:val="20"/>
          <w:szCs w:val="20"/>
        </w:rPr>
      </w:pPr>
      <w:r>
        <w:rPr>
          <w:sz w:val="20"/>
          <w:szCs w:val="20"/>
        </w:rPr>
      </w:r>
    </w:p>
    <w:p>
      <w:pPr>
        <w:pStyle w:val="normal1"/>
        <w:spacing w:lineRule="auto" w:line="276"/>
        <w:jc w:val="center"/>
        <w:rPr>
          <w:b/>
          <w:sz w:val="20"/>
          <w:szCs w:val="20"/>
          <w:u w:val="single"/>
        </w:rPr>
      </w:pPr>
      <w:r>
        <w:rPr>
          <w:b/>
          <w:sz w:val="20"/>
          <w:szCs w:val="20"/>
          <w:u w:val="single"/>
        </w:rPr>
      </w:r>
    </w:p>
    <w:p>
      <w:pPr>
        <w:pStyle w:val="normal1"/>
        <w:spacing w:lineRule="auto" w:line="276"/>
        <w:jc w:val="center"/>
        <w:rPr>
          <w:b/>
          <w:sz w:val="20"/>
          <w:szCs w:val="20"/>
          <w:u w:val="single"/>
        </w:rPr>
      </w:pPr>
      <w:r>
        <w:rPr>
          <w:b/>
          <w:sz w:val="20"/>
          <w:szCs w:val="20"/>
          <w:u w:val="single"/>
        </w:rPr>
        <w:t>Quadro de Pontuação para Classificação</w:t>
      </w:r>
    </w:p>
    <w:p>
      <w:pPr>
        <w:pStyle w:val="normal1"/>
        <w:spacing w:lineRule="auto" w:line="276"/>
        <w:jc w:val="both"/>
        <w:rPr>
          <w:b/>
          <w:sz w:val="20"/>
          <w:szCs w:val="20"/>
          <w:u w:val="single"/>
        </w:rPr>
      </w:pPr>
      <w:r>
        <w:rPr>
          <w:b/>
          <w:sz w:val="20"/>
          <w:szCs w:val="20"/>
          <w:u w:val="single"/>
        </w:rPr>
      </w:r>
    </w:p>
    <w:p>
      <w:pPr>
        <w:pStyle w:val="normal1"/>
        <w:spacing w:lineRule="auto" w:line="240"/>
        <w:jc w:val="both"/>
        <w:rPr>
          <w:sz w:val="20"/>
          <w:szCs w:val="20"/>
        </w:rPr>
      </w:pPr>
      <w:r>
        <w:rPr>
          <w:sz w:val="20"/>
          <w:szCs w:val="20"/>
        </w:rPr>
        <w:t>Serão utilizados 8 critérios de pontuação para concorrência às vagas na modalidade Teletrabalho. Cada critério relacionado vale 1 (um) ponto se comprovado ou 0 (zero) ponto caso não comprovado, sendo objetivo, sem gradação de pontuação ou discricionariedade.</w:t>
      </w:r>
    </w:p>
    <w:p>
      <w:pPr>
        <w:pStyle w:val="normal1"/>
        <w:spacing w:lineRule="auto" w:line="240"/>
        <w:jc w:val="both"/>
        <w:rPr>
          <w:sz w:val="20"/>
          <w:szCs w:val="20"/>
        </w:rPr>
      </w:pPr>
      <w:r>
        <w:rPr>
          <w:sz w:val="20"/>
          <w:szCs w:val="20"/>
        </w:rPr>
        <w:t>O(a) servidor(a) pode obter no máximo 8 pontos, a partir do somatório das categorias abaixo:</w:t>
      </w:r>
    </w:p>
    <w:p>
      <w:pPr>
        <w:pStyle w:val="normal1"/>
        <w:spacing w:lineRule="auto" w:line="276"/>
        <w:jc w:val="both"/>
        <w:rPr>
          <w:sz w:val="20"/>
          <w:szCs w:val="20"/>
        </w:rPr>
      </w:pPr>
      <w:r>
        <w:rPr>
          <w:sz w:val="20"/>
          <w:szCs w:val="20"/>
        </w:rPr>
      </w:r>
    </w:p>
    <w:tbl>
      <w:tblPr>
        <w:tblStyle w:val="Table3"/>
        <w:tblW w:w="9000" w:type="dxa"/>
        <w:jc w:val="left"/>
        <w:tblInd w:w="99" w:type="dxa"/>
        <w:tblLayout w:type="fixed"/>
        <w:tblCellMar>
          <w:top w:w="100" w:type="dxa"/>
          <w:left w:w="100" w:type="dxa"/>
          <w:bottom w:w="100" w:type="dxa"/>
          <w:right w:w="100" w:type="dxa"/>
        </w:tblCellMar>
        <w:tblLook w:val="0600"/>
      </w:tblPr>
      <w:tblGrid>
        <w:gridCol w:w="6630"/>
        <w:gridCol w:w="2369"/>
      </w:tblGrid>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b/>
                <w:sz w:val="20"/>
                <w:szCs w:val="20"/>
              </w:rPr>
            </w:pPr>
            <w:r>
              <w:rPr>
                <w:b/>
                <w:sz w:val="20"/>
                <w:szCs w:val="20"/>
              </w:rPr>
              <w:t>Critério</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b/>
                <w:sz w:val="20"/>
                <w:szCs w:val="20"/>
              </w:rPr>
            </w:pPr>
            <w:r>
              <w:rPr>
                <w:b/>
                <w:sz w:val="20"/>
                <w:szCs w:val="20"/>
              </w:rPr>
              <w:t>Pontuação (Sim - 1 ponto; Não - 0 ponto)</w:t>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Servidor(a) com horário especial, nos termos dos parágrafos 1° a 3° do art. 98 da Lei n° 8.112, de 11 de dezembro de 1990;*</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Servidora gestante e lactante, durante o período de gestação e amamentação;*</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Pessoas com deficiência;*</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Servidores com vínculo efetivo no IFSC</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Servidor(a) com idade acima de 60 (sessenta) anos;*</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Residentes em municípios diferentes do município do Câmpus de sua lotação;*</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Servidores que tenham filhos, enteados, tutelados, cônjuge ou companheiro com deficiência, que residam no mesmo domicílio e demandem</w:t>
            </w:r>
          </w:p>
          <w:p>
            <w:pPr>
              <w:pStyle w:val="normal1"/>
              <w:spacing w:lineRule="auto" w:line="276"/>
              <w:jc w:val="both"/>
              <w:rPr>
                <w:sz w:val="20"/>
                <w:szCs w:val="20"/>
              </w:rPr>
            </w:pPr>
            <w:r>
              <w:rPr>
                <w:sz w:val="20"/>
                <w:szCs w:val="20"/>
              </w:rPr>
              <w:t>cuidados especiais, conforme inserido no assentamento funcional*</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Servidores com filhos com até 12 (doze) anos de idade, que residam com o servidor e estejam inseridos no assentamento funcional</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Servidor(a) que tenha, em sua última avaliação de desempenho, atingido no mínimo 90% da pontuação máxima;*</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jc w:val="both"/>
              <w:rPr>
                <w:sz w:val="20"/>
                <w:szCs w:val="20"/>
              </w:rPr>
            </w:pPr>
            <w:r>
              <w:rPr>
                <w:sz w:val="20"/>
                <w:szCs w:val="20"/>
              </w:rPr>
              <w:t>Servidor(a) que esteja em cargo de gestão, coordenação, assessoria ou encargos de responsabilidade;**</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r>
        <w:trPr>
          <w:trHeight w:val="574" w:hRule="atLeast"/>
        </w:trPr>
        <w:tc>
          <w:tcPr>
            <w:tcW w:w="663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200" w:after="200"/>
              <w:jc w:val="right"/>
              <w:rPr>
                <w:b/>
                <w:sz w:val="20"/>
                <w:szCs w:val="20"/>
              </w:rPr>
            </w:pPr>
            <w:r>
              <w:rPr>
                <w:b/>
                <w:sz w:val="20"/>
                <w:szCs w:val="20"/>
              </w:rPr>
              <w:t>Total</w:t>
            </w:r>
          </w:p>
        </w:tc>
        <w:tc>
          <w:tcPr>
            <w:tcW w:w="23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0"/>
                <w:szCs w:val="20"/>
              </w:rPr>
            </w:pPr>
            <w:r>
              <w:rPr>
                <w:sz w:val="20"/>
                <w:szCs w:val="20"/>
              </w:rPr>
            </w:r>
          </w:p>
        </w:tc>
      </w:tr>
    </w:tbl>
    <w:p>
      <w:pPr>
        <w:pStyle w:val="normal1"/>
        <w:spacing w:lineRule="auto" w:line="276"/>
        <w:jc w:val="both"/>
        <w:rPr>
          <w:sz w:val="20"/>
          <w:szCs w:val="20"/>
        </w:rPr>
      </w:pPr>
      <w:r>
        <w:rPr>
          <w:sz w:val="20"/>
          <w:szCs w:val="20"/>
        </w:rPr>
        <w:t>*Deverá ser anexado junto ao formulário de inscrição a documentação comprobatória, de preferência emitidos via aplicativo SouGov, solicitados na CGP do Câmpus, declaração médica ou outra forma de comprovação válida conforme a condição;</w:t>
      </w:r>
    </w:p>
    <w:p>
      <w:pPr>
        <w:pStyle w:val="normal1"/>
        <w:spacing w:lineRule="auto" w:line="276"/>
        <w:jc w:val="both"/>
        <w:rPr>
          <w:sz w:val="20"/>
          <w:szCs w:val="20"/>
        </w:rPr>
      </w:pPr>
      <w:r>
        <w:rPr>
          <w:sz w:val="20"/>
          <w:szCs w:val="20"/>
        </w:rPr>
        <w:t>**Anexar portaria de nomeação em cago de FG ou FCC.</w:t>
      </w:r>
    </w:p>
    <w:p>
      <w:pPr>
        <w:pStyle w:val="normal1"/>
        <w:spacing w:lineRule="auto" w:line="276"/>
        <w:jc w:val="both"/>
        <w:rPr>
          <w:sz w:val="20"/>
          <w:szCs w:val="20"/>
        </w:rPr>
      </w:pPr>
      <w:r>
        <w:rPr>
          <w:sz w:val="20"/>
          <w:szCs w:val="20"/>
        </w:rPr>
      </w:r>
    </w:p>
    <w:p>
      <w:pPr>
        <w:pStyle w:val="normal1"/>
        <w:spacing w:lineRule="auto" w:line="276"/>
        <w:jc w:val="both"/>
        <w:rPr>
          <w:sz w:val="20"/>
          <w:szCs w:val="20"/>
        </w:rPr>
      </w:pPr>
      <w:r>
        <w:rPr>
          <w:sz w:val="20"/>
          <w:szCs w:val="20"/>
        </w:rPr>
      </w:r>
    </w:p>
    <w:p>
      <w:pPr>
        <w:pStyle w:val="normal1"/>
        <w:spacing w:lineRule="auto" w:line="276"/>
        <w:jc w:val="both"/>
        <w:rPr>
          <w:sz w:val="20"/>
          <w:szCs w:val="20"/>
        </w:rPr>
      </w:pPr>
      <w:r>
        <w:rPr>
          <w:sz w:val="20"/>
          <w:szCs w:val="20"/>
        </w:rPr>
      </w:r>
    </w:p>
    <w:p>
      <w:pPr>
        <w:pStyle w:val="normal1"/>
        <w:spacing w:lineRule="auto" w:line="276"/>
        <w:jc w:val="both"/>
        <w:rPr>
          <w:sz w:val="20"/>
          <w:szCs w:val="20"/>
        </w:rPr>
      </w:pPr>
      <w:r>
        <w:rPr>
          <w:sz w:val="20"/>
          <w:szCs w:val="20"/>
        </w:rPr>
      </w:r>
    </w:p>
    <w:p>
      <w:pPr>
        <w:pStyle w:val="normal1"/>
        <w:spacing w:lineRule="auto" w:line="276"/>
        <w:jc w:val="center"/>
        <w:rPr>
          <w:b/>
          <w:sz w:val="20"/>
          <w:szCs w:val="20"/>
        </w:rPr>
      </w:pPr>
      <w:r>
        <w:rPr>
          <w:b/>
          <w:sz w:val="20"/>
          <w:szCs w:val="20"/>
        </w:rPr>
      </w:r>
    </w:p>
    <w:p>
      <w:pPr>
        <w:pStyle w:val="normal1"/>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40"/>
      <w:rPr>
        <w:sz w:val="18"/>
        <w:szCs w:val="18"/>
      </w:rPr>
    </w:pPr>
    <w:r>
      <w:rPr/>
      <w:br/>
    </w:r>
    <w:r>
      <w:rPr>
        <w:b/>
        <w:color w:val="008000"/>
        <w:sz w:val="18"/>
        <w:szCs w:val="18"/>
      </w:rPr>
      <w:t>Instituto Federal de Santa Catarina – Reitoria</w:t>
      <w:br/>
    </w:r>
    <w:r>
      <w:rPr>
        <w:sz w:val="18"/>
        <w:szCs w:val="18"/>
      </w:rPr>
      <w:t>Rua: 14 de julho, 150 | Coqueiros | Florianópolis /SC | CEP: 88.075-010</w:t>
      <w:br/>
      <w:t>Fone: (48) 3877-9000 | www.ifsc.edu.br | CNPJ 11.402.887/0001-60</w:t>
    </w:r>
  </w:p>
  <w:p>
    <w:pPr>
      <w:pStyle w:val="normal1"/>
      <w:spacing w:lineRule="auto" w:line="24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40"/>
      <w:rPr>
        <w:sz w:val="18"/>
        <w:szCs w:val="18"/>
      </w:rPr>
    </w:pPr>
    <w:r>
      <w:rPr/>
      <w:br/>
    </w:r>
    <w:r>
      <w:rPr>
        <w:b/>
        <w:color w:val="008000"/>
        <w:sz w:val="18"/>
        <w:szCs w:val="18"/>
      </w:rPr>
      <w:t>Instituto Federal de Santa Catarina – Reitoria</w:t>
      <w:br/>
    </w:r>
    <w:r>
      <w:rPr>
        <w:sz w:val="18"/>
        <w:szCs w:val="18"/>
      </w:rPr>
      <w:t>Rua: 14 de julho, 150 | Coqueiros | Florianópolis /SC | CEP: 88.075-010</w:t>
      <w:br/>
      <w:t>Fone: (48) 3877-9000 | www.ifsc.edu.br | CNPJ 11.402.887/0001-60</w:t>
    </w:r>
  </w:p>
  <w:p>
    <w:pPr>
      <w:pStyle w:val="normal1"/>
      <w:spacing w:lineRule="auto" w:line="24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inline distT="0" distB="0" distL="0" distR="0">
          <wp:extent cx="5731510" cy="6223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31510" cy="622300"/>
                  </a:xfrm>
                  <a:prstGeom prst="rect">
                    <a:avLst/>
                  </a:prstGeom>
                  <a:noFill/>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inline distT="0" distB="0" distL="0" distR="0">
          <wp:extent cx="5731510" cy="6223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731510" cy="622300"/>
                  </a:xfrm>
                  <a:prstGeom prst="rect">
                    <a:avLst/>
                  </a:prstGeom>
                  <a:noFill/>
                </pic:spPr>
              </pic:pic>
            </a:graphicData>
          </a:graphic>
        </wp:inline>
      </w:drawing>
    </w:r>
  </w:p>
</w:hdr>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br/trabalho-e-emprego/pt-br/acesso-a-informacao/participacao-social/conselhos-e-orgaos-colegiados/comissao-tripartite-partitaria-permanente/arquivos/normas-regulamentadoras/nr-17-atualizada-2022.pdf" TargetMode="External"/><Relationship Id="rId3" Type="http://schemas.openxmlformats.org/officeDocument/2006/relationships/hyperlink" Target="mailto:o.urupema@ifsc.edu.b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LibreOffice/24.8.7.2$Windows_X86_64 LibreOffice_project/e07d0a63a46349d29051da79b1fde8160bab2a89</Application>
  <AppVersion>15.0000</AppVersion>
  <Pages>8</Pages>
  <Words>2043</Words>
  <Characters>13004</Characters>
  <CharactersWithSpaces>14987</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2025-06-17T15:47:41Z</dcterms:modified>
  <cp:revision>2</cp:revision>
  <dc:subject/>
  <dc:title/>
</cp:coreProperties>
</file>