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2B511A"/>
          <w:sz w:val="28"/>
          <w:szCs w:val="28"/>
        </w:rPr>
      </w:pPr>
    </w:p>
    <w:p w:rsidR="005B7AB7" w:rsidRDefault="00000000">
      <w:pPr>
        <w:pStyle w:val="Ttulo1"/>
        <w:numPr>
          <w:ilvl w:val="0"/>
          <w:numId w:val="8"/>
        </w:numPr>
      </w:pPr>
      <w:bookmarkStart w:id="0" w:name="_gjdgxs"/>
      <w:bookmarkEnd w:id="0"/>
      <w:r>
        <w:t>PERFIL INSTITUCIONAL</w:t>
      </w:r>
    </w:p>
    <w:p w:rsidR="005B7AB7" w:rsidRDefault="005B7AB7">
      <w:pPr>
        <w:pStyle w:val="Standard"/>
        <w:tabs>
          <w:tab w:val="left" w:pos="850"/>
        </w:tabs>
        <w:spacing w:line="360" w:lineRule="auto"/>
        <w:jc w:val="center"/>
        <w:rPr>
          <w:rFonts w:ascii="Times New Roman" w:eastAsia="Times New Roman" w:hAnsi="Times New Roman" w:cs="Times New Roman"/>
          <w:b/>
          <w:smallCaps/>
          <w:color w:val="CE181E"/>
        </w:rPr>
      </w:pPr>
    </w:p>
    <w:p w:rsidR="005B7AB7" w:rsidRDefault="005B7AB7">
      <w:pPr>
        <w:pStyle w:val="Standard"/>
        <w:tabs>
          <w:tab w:val="left" w:pos="850"/>
        </w:tabs>
        <w:spacing w:line="360" w:lineRule="auto"/>
        <w:jc w:val="cente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5B7AB7">
      <w:pPr>
        <w:pStyle w:val="Standard"/>
        <w:tabs>
          <w:tab w:val="left" w:pos="850"/>
        </w:tabs>
        <w:spacing w:line="360" w:lineRule="auto"/>
        <w:jc w:val="center"/>
        <w:rPr>
          <w:rFonts w:ascii="Times New Roman" w:eastAsia="Times New Roman" w:hAnsi="Times New Roman" w:cs="Times New Roman"/>
          <w:b/>
          <w:smallCaps/>
          <w:color w:val="006633"/>
        </w:rPr>
      </w:pPr>
    </w:p>
    <w:p w:rsidR="005B7AB7" w:rsidRDefault="00000000">
      <w:pPr>
        <w:pStyle w:val="Standard"/>
        <w:tabs>
          <w:tab w:val="left" w:pos="850"/>
        </w:tabs>
        <w:spacing w:line="360" w:lineRule="auto"/>
        <w:jc w:val="center"/>
        <w:rPr>
          <w:rFonts w:ascii="Times New Roman" w:eastAsia="Times New Roman" w:hAnsi="Times New Roman" w:cs="Times New Roman"/>
          <w:b/>
          <w:smallCaps/>
          <w:color w:val="2B511A"/>
        </w:rPr>
      </w:pPr>
      <w:r>
        <w:rPr>
          <w:rFonts w:ascii="Times New Roman" w:eastAsia="Times New Roman" w:hAnsi="Times New Roman" w:cs="Times New Roman"/>
          <w:b/>
          <w:smallCaps/>
          <w:color w:val="2B511A"/>
        </w:rPr>
        <w:lastRenderedPageBreak/>
        <w:t>SUMÁRIO</w:t>
      </w:r>
    </w:p>
    <w:p w:rsidR="005B7AB7" w:rsidRDefault="005B7AB7">
      <w:pPr>
        <w:pStyle w:val="Standard"/>
        <w:tabs>
          <w:tab w:val="left" w:pos="850"/>
        </w:tabs>
        <w:spacing w:line="360" w:lineRule="auto"/>
        <w:jc w:val="center"/>
      </w:pPr>
    </w:p>
    <w:p w:rsidR="005B7AB7" w:rsidRDefault="00000000">
      <w:pPr>
        <w:pStyle w:val="Standard"/>
        <w:tabs>
          <w:tab w:val="right" w:leader="dot" w:pos="12000"/>
        </w:tabs>
        <w:spacing w:before="60"/>
      </w:pPr>
      <w:r>
        <w:fldChar w:fldCharType="begin"/>
      </w:r>
      <w:r>
        <w:instrText xml:space="preserve"> TOC \o "1-9" \u \t "Título 1;1;Título 2;2;Título 3;3;Título 4;4;Título 5;5;Título 6;6" \h </w:instrText>
      </w:r>
      <w:r>
        <w:fldChar w:fldCharType="separate"/>
      </w:r>
      <w:hyperlink r:id="rId7" w:history="1">
        <w:r>
          <w:rPr>
            <w:rFonts w:ascii="Times New Roman" w:eastAsia="Times New Roman" w:hAnsi="Times New Roman" w:cs="Times New Roman"/>
            <w:color w:val="000000"/>
          </w:rPr>
          <w:t>Capítulo 1 –  PERFIL INSTITUCIONAL</w:t>
        </w:r>
        <w:r>
          <w:rPr>
            <w:rFonts w:ascii="Times New Roman" w:eastAsia="Times New Roman" w:hAnsi="Times New Roman" w:cs="Times New Roman"/>
            <w:color w:val="000000"/>
          </w:rPr>
          <w:tab/>
          <w:t>1</w:t>
        </w:r>
      </w:hyperlink>
    </w:p>
    <w:p w:rsidR="005B7AB7" w:rsidRDefault="00000000">
      <w:pPr>
        <w:pStyle w:val="Standard"/>
        <w:tabs>
          <w:tab w:val="right" w:leader="dot" w:pos="12360"/>
        </w:tabs>
        <w:spacing w:before="60"/>
        <w:ind w:left="360"/>
      </w:pPr>
      <w:hyperlink r:id="rId8" w:history="1">
        <w:r>
          <w:rPr>
            <w:rFonts w:ascii="Times New Roman" w:eastAsia="Times New Roman" w:hAnsi="Times New Roman" w:cs="Times New Roman"/>
            <w:color w:val="000000"/>
          </w:rPr>
          <w:t>1.1 APRESENTAÇÃO DA INSTITUIÇÃO</w:t>
        </w:r>
        <w:r>
          <w:rPr>
            <w:rFonts w:ascii="Times New Roman" w:eastAsia="Times New Roman" w:hAnsi="Times New Roman" w:cs="Times New Roman"/>
            <w:color w:val="000000"/>
          </w:rPr>
          <w:tab/>
          <w:t>3</w:t>
        </w:r>
      </w:hyperlink>
    </w:p>
    <w:p w:rsidR="005B7AB7" w:rsidRDefault="00000000">
      <w:pPr>
        <w:pStyle w:val="Standard"/>
        <w:tabs>
          <w:tab w:val="right" w:leader="dot" w:pos="12360"/>
        </w:tabs>
        <w:spacing w:before="60"/>
        <w:ind w:left="360"/>
      </w:pPr>
      <w:hyperlink r:id="rId9" w:history="1">
        <w:r>
          <w:rPr>
            <w:rFonts w:ascii="Times New Roman" w:eastAsia="Times New Roman" w:hAnsi="Times New Roman" w:cs="Times New Roman"/>
            <w:color w:val="000000"/>
          </w:rPr>
          <w:t>1.2 HISTÓRICO</w:t>
        </w:r>
        <w:r>
          <w:rPr>
            <w:rFonts w:ascii="Times New Roman" w:eastAsia="Times New Roman" w:hAnsi="Times New Roman" w:cs="Times New Roman"/>
            <w:color w:val="000000"/>
          </w:rPr>
          <w:tab/>
          <w:t>4</w:t>
        </w:r>
      </w:hyperlink>
    </w:p>
    <w:p w:rsidR="005B7AB7" w:rsidRDefault="00000000">
      <w:pPr>
        <w:pStyle w:val="Standard"/>
        <w:tabs>
          <w:tab w:val="right" w:leader="dot" w:pos="12360"/>
        </w:tabs>
        <w:spacing w:before="60"/>
        <w:ind w:left="360"/>
      </w:pPr>
      <w:hyperlink r:id="rId10" w:history="1">
        <w:r>
          <w:rPr>
            <w:rFonts w:ascii="Times New Roman" w:eastAsia="Times New Roman" w:hAnsi="Times New Roman" w:cs="Times New Roman"/>
            <w:color w:val="000000"/>
          </w:rPr>
          <w:t>1.3 FINALIDADES, CARACTERÍSTICAS E OBJETIVOS</w:t>
        </w:r>
        <w:r>
          <w:rPr>
            <w:rFonts w:ascii="Times New Roman" w:eastAsia="Times New Roman" w:hAnsi="Times New Roman" w:cs="Times New Roman"/>
            <w:color w:val="000000"/>
          </w:rPr>
          <w:tab/>
          <w:t>5</w:t>
        </w:r>
      </w:hyperlink>
    </w:p>
    <w:p w:rsidR="005B7AB7" w:rsidRDefault="00000000">
      <w:pPr>
        <w:pStyle w:val="Standard"/>
        <w:tabs>
          <w:tab w:val="right" w:leader="dot" w:pos="12360"/>
        </w:tabs>
        <w:spacing w:before="60"/>
        <w:ind w:left="360"/>
      </w:pPr>
      <w:hyperlink r:id="rId11" w:history="1">
        <w:r>
          <w:rPr>
            <w:rFonts w:ascii="Times New Roman" w:eastAsia="Times New Roman" w:hAnsi="Times New Roman" w:cs="Times New Roman"/>
            <w:color w:val="000000"/>
          </w:rPr>
          <w:t>1.4 MISSÃO, VISÃO E VALORES</w:t>
        </w:r>
        <w:r>
          <w:rPr>
            <w:rFonts w:ascii="Times New Roman" w:eastAsia="Times New Roman" w:hAnsi="Times New Roman" w:cs="Times New Roman"/>
            <w:color w:val="000000"/>
          </w:rPr>
          <w:tab/>
          <w:t>7</w:t>
        </w:r>
      </w:hyperlink>
    </w:p>
    <w:p w:rsidR="005B7AB7" w:rsidRDefault="00000000">
      <w:pPr>
        <w:pStyle w:val="Standard"/>
        <w:tabs>
          <w:tab w:val="right" w:leader="dot" w:pos="12360"/>
        </w:tabs>
        <w:spacing w:before="60"/>
        <w:ind w:left="360"/>
      </w:pPr>
      <w:hyperlink r:id="rId12" w:history="1">
        <w:r>
          <w:rPr>
            <w:rFonts w:ascii="Times New Roman" w:eastAsia="Times New Roman" w:hAnsi="Times New Roman" w:cs="Times New Roman"/>
            <w:color w:val="000000"/>
          </w:rPr>
          <w:t>1.5 CADEIA DE VALOR</w:t>
        </w:r>
        <w:r>
          <w:rPr>
            <w:rFonts w:ascii="Times New Roman" w:eastAsia="Times New Roman" w:hAnsi="Times New Roman" w:cs="Times New Roman"/>
            <w:color w:val="000000"/>
          </w:rPr>
          <w:tab/>
          <w:t>8</w:t>
        </w:r>
      </w:hyperlink>
    </w:p>
    <w:p w:rsidR="005B7AB7" w:rsidRDefault="00000000">
      <w:pPr>
        <w:pStyle w:val="Standard"/>
        <w:tabs>
          <w:tab w:val="right" w:leader="dot" w:pos="12360"/>
        </w:tabs>
        <w:spacing w:before="60"/>
        <w:ind w:left="360"/>
      </w:pPr>
      <w:hyperlink r:id="rId13" w:history="1">
        <w:r>
          <w:rPr>
            <w:rFonts w:ascii="Times New Roman" w:eastAsia="Times New Roman" w:hAnsi="Times New Roman" w:cs="Times New Roman"/>
            <w:color w:val="000000"/>
          </w:rPr>
          <w:t>1.6 ÁREAS DE ATUAÇÃO ACADÊMICA</w:t>
        </w:r>
        <w:r>
          <w:rPr>
            <w:rFonts w:ascii="Times New Roman" w:eastAsia="Times New Roman" w:hAnsi="Times New Roman" w:cs="Times New Roman"/>
            <w:color w:val="000000"/>
          </w:rPr>
          <w:tab/>
          <w:t>11</w:t>
        </w:r>
      </w:hyperlink>
    </w:p>
    <w:p w:rsidR="005B7AB7" w:rsidRDefault="00000000">
      <w:pPr>
        <w:pStyle w:val="Standard"/>
        <w:widowControl/>
        <w:tabs>
          <w:tab w:val="left" w:pos="850"/>
        </w:tabs>
        <w:spacing w:line="360" w:lineRule="auto"/>
        <w:jc w:val="both"/>
        <w:rPr>
          <w:rFonts w:ascii="Times New Roman" w:eastAsia="Times New Roman" w:hAnsi="Times New Roman" w:cs="Times New Roman"/>
          <w:b/>
          <w:smallCaps/>
          <w:color w:val="006633"/>
        </w:rPr>
      </w:pPr>
      <w:r>
        <w:fldChar w:fldCharType="end"/>
      </w:r>
    </w:p>
    <w:p w:rsidR="005B7AB7" w:rsidRDefault="005B7AB7">
      <w:pPr>
        <w:pStyle w:val="Standard"/>
        <w:widowControl/>
        <w:tabs>
          <w:tab w:val="left" w:pos="850"/>
        </w:tabs>
        <w:spacing w:line="360" w:lineRule="auto"/>
        <w:jc w:val="both"/>
        <w:rPr>
          <w:rFonts w:ascii="Times New Roman" w:eastAsia="Times New Roman" w:hAnsi="Times New Roman" w:cs="Times New Roman"/>
          <w:b/>
          <w:smallCaps/>
          <w:color w:val="006633"/>
        </w:rPr>
      </w:pPr>
    </w:p>
    <w:p w:rsidR="005B7AB7" w:rsidRDefault="005B7AB7">
      <w:pPr>
        <w:pStyle w:val="Standard"/>
        <w:widowControl/>
        <w:tabs>
          <w:tab w:val="left" w:pos="850"/>
        </w:tabs>
        <w:spacing w:line="360" w:lineRule="auto"/>
        <w:jc w:val="both"/>
        <w:rPr>
          <w:rFonts w:ascii="Times New Roman" w:eastAsia="Times New Roman" w:hAnsi="Times New Roman" w:cs="Times New Roman"/>
          <w:b/>
          <w:smallCaps/>
          <w:color w:val="006633"/>
        </w:rPr>
      </w:pPr>
    </w:p>
    <w:p w:rsidR="005B7AB7" w:rsidRDefault="00000000">
      <w:pPr>
        <w:pStyle w:val="Standard"/>
        <w:widowControl/>
        <w:tabs>
          <w:tab w:val="left" w:pos="850"/>
        </w:tabs>
        <w:spacing w:line="360" w:lineRule="auto"/>
        <w:jc w:val="both"/>
        <w:rPr>
          <w:b/>
        </w:rPr>
      </w:pPr>
      <w:r>
        <w:rPr>
          <w:b/>
        </w:rPr>
        <w:t>Comissão Temática de Perfil Institucional</w:t>
      </w:r>
    </w:p>
    <w:p w:rsidR="005B7AB7" w:rsidRDefault="005B7AB7">
      <w:pPr>
        <w:pStyle w:val="Standard"/>
        <w:widowControl/>
        <w:tabs>
          <w:tab w:val="left" w:pos="850"/>
        </w:tabs>
        <w:spacing w:line="360" w:lineRule="auto"/>
        <w:jc w:val="both"/>
      </w:pPr>
    </w:p>
    <w:p w:rsidR="005B7AB7" w:rsidRDefault="00000000">
      <w:pPr>
        <w:pStyle w:val="Standard"/>
        <w:widowControl/>
        <w:tabs>
          <w:tab w:val="left" w:pos="850"/>
        </w:tabs>
        <w:spacing w:line="360" w:lineRule="auto"/>
        <w:jc w:val="both"/>
      </w:pPr>
      <w:r>
        <w:t>OIZES VIEIRA MENDES - Diretor de Gestão do Conhecimento - Presidente</w:t>
      </w:r>
    </w:p>
    <w:p w:rsidR="005B7AB7" w:rsidRDefault="00000000">
      <w:pPr>
        <w:pStyle w:val="Standard"/>
        <w:widowControl/>
        <w:tabs>
          <w:tab w:val="left" w:pos="850"/>
        </w:tabs>
        <w:spacing w:line="360" w:lineRule="auto"/>
        <w:jc w:val="both"/>
      </w:pPr>
      <w:r>
        <w:t>MARIANA FEMINELLA VEIGA SAMPIETRO - Diretoria de Gestão do Conhecimento</w:t>
      </w:r>
    </w:p>
    <w:p w:rsidR="005B7AB7" w:rsidRDefault="00000000">
      <w:pPr>
        <w:pStyle w:val="Standard"/>
        <w:widowControl/>
        <w:tabs>
          <w:tab w:val="left" w:pos="850"/>
        </w:tabs>
        <w:spacing w:line="360" w:lineRule="auto"/>
        <w:jc w:val="both"/>
      </w:pPr>
      <w:r>
        <w:t>SILVIO APARECIDO DA SILVA - Coordenador de Planejamento e Avaliação Institucional</w:t>
      </w:r>
    </w:p>
    <w:p w:rsidR="005B7AB7" w:rsidRDefault="00000000">
      <w:pPr>
        <w:pStyle w:val="Standard"/>
        <w:widowControl/>
        <w:tabs>
          <w:tab w:val="left" w:pos="850"/>
        </w:tabs>
        <w:spacing w:line="360" w:lineRule="auto"/>
        <w:jc w:val="both"/>
      </w:pPr>
      <w:r>
        <w:t>VANESSA DE OLIVEIRA MORAES - Coordenadora de Processos e Riscos</w:t>
      </w:r>
    </w:p>
    <w:p w:rsidR="005B7AB7" w:rsidRDefault="005B7AB7">
      <w:pPr>
        <w:pStyle w:val="Standard"/>
        <w:widowControl/>
        <w:tabs>
          <w:tab w:val="left" w:pos="850"/>
        </w:tabs>
        <w:spacing w:line="360" w:lineRule="auto"/>
        <w:jc w:val="both"/>
      </w:pPr>
    </w:p>
    <w:p w:rsidR="005B7AB7" w:rsidRDefault="005B7AB7">
      <w:pPr>
        <w:pStyle w:val="Standard"/>
        <w:widowControl/>
        <w:tabs>
          <w:tab w:val="left" w:pos="850"/>
        </w:tabs>
        <w:spacing w:line="360" w:lineRule="auto"/>
        <w:jc w:val="both"/>
        <w:rPr>
          <w:rFonts w:ascii="Times New Roman" w:eastAsia="Times New Roman" w:hAnsi="Times New Roman" w:cs="Times New Roman"/>
          <w:color w:val="000000"/>
        </w:rPr>
      </w:pPr>
    </w:p>
    <w:p w:rsidR="005B7AB7" w:rsidRDefault="005B7AB7">
      <w:pPr>
        <w:pStyle w:val="Standard"/>
        <w:widowControl/>
        <w:tabs>
          <w:tab w:val="left" w:pos="850"/>
        </w:tabs>
        <w:spacing w:line="360" w:lineRule="auto"/>
        <w:jc w:val="both"/>
        <w:rPr>
          <w:rFonts w:ascii="Times New Roman" w:eastAsia="Times New Roman" w:hAnsi="Times New Roman" w:cs="Times New Roman"/>
          <w:color w:val="000000"/>
        </w:rPr>
      </w:pPr>
    </w:p>
    <w:p w:rsidR="005B7AB7" w:rsidRDefault="005B7AB7">
      <w:pPr>
        <w:pStyle w:val="Standard"/>
        <w:widowControl/>
        <w:tabs>
          <w:tab w:val="left" w:pos="850"/>
        </w:tabs>
        <w:spacing w:line="360" w:lineRule="auto"/>
        <w:jc w:val="both"/>
        <w:rPr>
          <w:rFonts w:ascii="Times New Roman" w:eastAsia="Times New Roman" w:hAnsi="Times New Roman" w:cs="Times New Roman"/>
          <w:color w:val="000000"/>
        </w:rPr>
      </w:pPr>
    </w:p>
    <w:p w:rsidR="005B7AB7" w:rsidRDefault="005B7AB7">
      <w:pPr>
        <w:pStyle w:val="Standard"/>
        <w:widowControl/>
        <w:tabs>
          <w:tab w:val="left" w:pos="850"/>
        </w:tabs>
        <w:spacing w:line="360" w:lineRule="auto"/>
        <w:jc w:val="both"/>
        <w:rPr>
          <w:rFonts w:ascii="Times New Roman" w:eastAsia="Times New Roman" w:hAnsi="Times New Roman" w:cs="Times New Roman"/>
          <w:color w:val="000000"/>
        </w:rPr>
      </w:pPr>
    </w:p>
    <w:p w:rsidR="005B7AB7" w:rsidRDefault="005B7AB7">
      <w:pPr>
        <w:pStyle w:val="Standard"/>
        <w:widowControl/>
        <w:tabs>
          <w:tab w:val="left" w:pos="850"/>
        </w:tabs>
        <w:spacing w:line="360" w:lineRule="auto"/>
        <w:jc w:val="both"/>
        <w:rPr>
          <w:rFonts w:ascii="Times New Roman" w:eastAsia="Times New Roman" w:hAnsi="Times New Roman" w:cs="Times New Roman"/>
          <w:color w:val="000000"/>
        </w:rPr>
      </w:pPr>
    </w:p>
    <w:p w:rsidR="005B7AB7" w:rsidRDefault="005B7AB7">
      <w:pPr>
        <w:pStyle w:val="Standard"/>
        <w:widowControl/>
        <w:tabs>
          <w:tab w:val="left" w:pos="850"/>
        </w:tabs>
        <w:spacing w:line="360" w:lineRule="auto"/>
        <w:jc w:val="both"/>
        <w:rPr>
          <w:rFonts w:ascii="Times New Roman" w:eastAsia="Times New Roman" w:hAnsi="Times New Roman" w:cs="Times New Roman"/>
          <w:color w:val="000000"/>
        </w:rPr>
      </w:pPr>
    </w:p>
    <w:p w:rsidR="005B7AB7" w:rsidRDefault="005B7AB7">
      <w:pPr>
        <w:pStyle w:val="Standard"/>
        <w:widowControl/>
        <w:tabs>
          <w:tab w:val="left" w:pos="850"/>
        </w:tabs>
        <w:spacing w:line="360" w:lineRule="auto"/>
        <w:jc w:val="both"/>
        <w:rPr>
          <w:rFonts w:ascii="Times New Roman" w:eastAsia="Times New Roman" w:hAnsi="Times New Roman" w:cs="Times New Roman"/>
          <w:color w:val="000000"/>
        </w:rPr>
      </w:pPr>
    </w:p>
    <w:p w:rsidR="005B7AB7" w:rsidRDefault="005B7AB7">
      <w:pPr>
        <w:pStyle w:val="Standard"/>
        <w:widowControl/>
        <w:tabs>
          <w:tab w:val="left" w:pos="850"/>
        </w:tabs>
        <w:spacing w:line="360" w:lineRule="auto"/>
        <w:jc w:val="both"/>
        <w:rPr>
          <w:rFonts w:ascii="Times New Roman" w:eastAsia="Times New Roman" w:hAnsi="Times New Roman" w:cs="Times New Roman"/>
          <w:color w:val="000000"/>
        </w:rPr>
      </w:pPr>
    </w:p>
    <w:p w:rsidR="005B7AB7" w:rsidRDefault="005B7AB7">
      <w:pPr>
        <w:pStyle w:val="Standard"/>
        <w:widowControl/>
        <w:tabs>
          <w:tab w:val="left" w:pos="850"/>
        </w:tabs>
        <w:spacing w:line="360" w:lineRule="auto"/>
        <w:jc w:val="both"/>
        <w:rPr>
          <w:rFonts w:ascii="Times New Roman" w:eastAsia="Times New Roman" w:hAnsi="Times New Roman" w:cs="Times New Roman"/>
          <w:color w:val="000000"/>
        </w:rPr>
      </w:pPr>
    </w:p>
    <w:p w:rsidR="005B7AB7" w:rsidRDefault="005B7AB7">
      <w:pPr>
        <w:pStyle w:val="Standard"/>
        <w:widowControl/>
        <w:tabs>
          <w:tab w:val="left" w:pos="850"/>
        </w:tabs>
        <w:spacing w:line="360" w:lineRule="auto"/>
        <w:jc w:val="both"/>
        <w:rPr>
          <w:rFonts w:ascii="Times New Roman" w:eastAsia="Times New Roman" w:hAnsi="Times New Roman" w:cs="Times New Roman"/>
          <w:color w:val="000000"/>
        </w:rPr>
      </w:pPr>
    </w:p>
    <w:p w:rsidR="005B7AB7" w:rsidRDefault="005B7AB7">
      <w:pPr>
        <w:pStyle w:val="Standard"/>
        <w:widowControl/>
        <w:tabs>
          <w:tab w:val="left" w:pos="850"/>
        </w:tabs>
        <w:spacing w:line="360" w:lineRule="auto"/>
        <w:jc w:val="both"/>
        <w:rPr>
          <w:rFonts w:ascii="Times New Roman" w:eastAsia="Times New Roman" w:hAnsi="Times New Roman" w:cs="Times New Roman"/>
          <w:color w:val="000000"/>
        </w:rPr>
      </w:pPr>
    </w:p>
    <w:p w:rsidR="005B7AB7" w:rsidRDefault="00000000">
      <w:pPr>
        <w:pStyle w:val="Ttulo2"/>
        <w:numPr>
          <w:ilvl w:val="1"/>
          <w:numId w:val="1"/>
        </w:numPr>
      </w:pPr>
      <w:bookmarkStart w:id="1" w:name="_30j0zll"/>
      <w:bookmarkEnd w:id="1"/>
      <w:r>
        <w:lastRenderedPageBreak/>
        <w:t>APRESENTAÇÃO DA INSTITUIÇÃO</w:t>
      </w:r>
    </w:p>
    <w:p w:rsidR="005B7AB7" w:rsidRDefault="00000000">
      <w:pPr>
        <w:pStyle w:val="Standard"/>
        <w:widowControl/>
        <w:spacing w:after="57"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O Instituto Federal de Educação, Ciência e Tecnologia de Santa Catarina (IFSC) é uma </w:t>
      </w:r>
      <w:r w:rsidR="00D83CB7">
        <w:rPr>
          <w:rFonts w:ascii="Times New Roman" w:eastAsia="Times New Roman" w:hAnsi="Times New Roman" w:cs="Times New Roman"/>
          <w:color w:val="000000"/>
        </w:rPr>
        <w:t>das instituições</w:t>
      </w:r>
      <w:r>
        <w:rPr>
          <w:rFonts w:ascii="Times New Roman" w:eastAsia="Times New Roman" w:hAnsi="Times New Roman" w:cs="Times New Roman"/>
          <w:color w:val="000000"/>
        </w:rPr>
        <w:t xml:space="preserve"> que compõem a Rede Federal de Educação Profissional, Científica e Tecnológica, (RFEPCT). É uma instituição pública que tem por finalidade ofertar formação e qualificação em diversas áreas, nos vários níveis e modalidades de ensino, bem como realizar pesquisa e extensão. Conforme estabelecido no artigo 2º da Lei nº 11.892/2008, os Institutos Federais “são instituições de educação superior, básica e profissional, </w:t>
      </w:r>
      <w:proofErr w:type="spellStart"/>
      <w:r>
        <w:rPr>
          <w:rFonts w:ascii="Times New Roman" w:eastAsia="Times New Roman" w:hAnsi="Times New Roman" w:cs="Times New Roman"/>
          <w:color w:val="000000"/>
        </w:rPr>
        <w:t>pluricurriculares</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multicampi</w:t>
      </w:r>
      <w:proofErr w:type="spellEnd"/>
      <w:r>
        <w:rPr>
          <w:rFonts w:ascii="Times New Roman" w:eastAsia="Times New Roman" w:hAnsi="Times New Roman" w:cs="Times New Roman"/>
          <w:color w:val="000000"/>
        </w:rPr>
        <w:t>, especializados na oferta de educação profissional e tecnológica nas diferentes modalidades de ensino”.</w:t>
      </w:r>
    </w:p>
    <w:p w:rsidR="005B7AB7" w:rsidRDefault="00000000">
      <w:pPr>
        <w:pStyle w:val="Standard"/>
        <w:widowControl/>
        <w:spacing w:after="57" w:line="360" w:lineRule="auto"/>
        <w:ind w:firstLine="709"/>
        <w:jc w:val="both"/>
        <w:rPr>
          <w:rFonts w:ascii="Times New Roman" w:hAnsi="Times New Roman"/>
        </w:rPr>
      </w:pPr>
      <w:r>
        <w:rPr>
          <w:rFonts w:ascii="Times New Roman" w:eastAsia="Times New Roman" w:hAnsi="Times New Roman" w:cs="Times New Roman"/>
          <w:color w:val="000000"/>
        </w:rPr>
        <w:tab/>
        <w:t>A instituição é uma autarquia vinculada ao Ministério da Educação (MEC), por meio da Secretaria de Educação Profissional e Tecnológica (</w:t>
      </w:r>
      <w:proofErr w:type="spellStart"/>
      <w:r>
        <w:rPr>
          <w:rFonts w:ascii="Times New Roman" w:eastAsia="Times New Roman" w:hAnsi="Times New Roman" w:cs="Times New Roman"/>
          <w:color w:val="000000"/>
        </w:rPr>
        <w:t>Setec</w:t>
      </w:r>
      <w:proofErr w:type="spellEnd"/>
      <w:r>
        <w:rPr>
          <w:rStyle w:val="Refdenotaderodap"/>
          <w:rFonts w:ascii="Times New Roman" w:eastAsia="Times New Roman" w:hAnsi="Times New Roman" w:cs="Times New Roman"/>
          <w:color w:val="000000"/>
        </w:rPr>
        <w:footnoteReference w:id="1"/>
      </w:r>
      <w:r>
        <w:rPr>
          <w:rFonts w:ascii="Times New Roman" w:eastAsia="Times New Roman" w:hAnsi="Times New Roman" w:cs="Times New Roman"/>
          <w:color w:val="000000"/>
        </w:rPr>
        <w:t xml:space="preserve">), e é composta por vinte e um </w:t>
      </w:r>
      <w:proofErr w:type="spellStart"/>
      <w:r>
        <w:rPr>
          <w:rFonts w:ascii="Times New Roman" w:eastAsia="Times New Roman" w:hAnsi="Times New Roman" w:cs="Times New Roman"/>
          <w:color w:val="000000"/>
        </w:rPr>
        <w:t>câmpus</w:t>
      </w:r>
      <w:proofErr w:type="spellEnd"/>
      <w:r>
        <w:rPr>
          <w:rFonts w:ascii="Times New Roman" w:eastAsia="Times New Roman" w:hAnsi="Times New Roman" w:cs="Times New Roman"/>
          <w:color w:val="000000"/>
        </w:rPr>
        <w:t xml:space="preserve">, um </w:t>
      </w:r>
      <w:proofErr w:type="spellStart"/>
      <w:r>
        <w:rPr>
          <w:rFonts w:ascii="Times New Roman" w:eastAsia="Times New Roman" w:hAnsi="Times New Roman" w:cs="Times New Roman"/>
          <w:color w:val="000000"/>
        </w:rPr>
        <w:t>câmpus</w:t>
      </w:r>
      <w:proofErr w:type="spellEnd"/>
      <w:r>
        <w:rPr>
          <w:rFonts w:ascii="Times New Roman" w:eastAsia="Times New Roman" w:hAnsi="Times New Roman" w:cs="Times New Roman"/>
          <w:color w:val="000000"/>
        </w:rPr>
        <w:t xml:space="preserve"> avançado e um polo de inovação, além da reitoria, localizada em Florianópolis.</w:t>
      </w:r>
    </w:p>
    <w:p w:rsidR="005B7AB7" w:rsidRDefault="00000000">
      <w:pPr>
        <w:pStyle w:val="Standard"/>
        <w:widowControl/>
        <w:spacing w:after="57" w:line="360" w:lineRule="auto"/>
        <w:ind w:firstLine="709"/>
        <w:jc w:val="both"/>
        <w:rPr>
          <w:rFonts w:ascii="Times New Roman" w:hAnsi="Times New Roman"/>
        </w:rPr>
      </w:pPr>
      <w:r>
        <w:rPr>
          <w:rFonts w:ascii="Times New Roman" w:eastAsia="Times New Roman" w:hAnsi="Times New Roman" w:cs="Times New Roman"/>
          <w:color w:val="000000"/>
        </w:rPr>
        <w:tab/>
        <w:t xml:space="preserve">Seus </w:t>
      </w:r>
      <w:proofErr w:type="spellStart"/>
      <w:r>
        <w:rPr>
          <w:rFonts w:ascii="Times New Roman" w:eastAsia="Times New Roman" w:hAnsi="Times New Roman" w:cs="Times New Roman"/>
          <w:color w:val="000000"/>
        </w:rPr>
        <w:t>câmpus</w:t>
      </w:r>
      <w:proofErr w:type="spellEnd"/>
      <w:r>
        <w:rPr>
          <w:rFonts w:ascii="Times New Roman" w:eastAsia="Times New Roman" w:hAnsi="Times New Roman" w:cs="Times New Roman"/>
          <w:color w:val="000000"/>
        </w:rPr>
        <w:t>, conforme mostrado pela Figura 1.1 são: Araranguá, Caçador, Canoinhas, Chapecó, Criciúma, Florianópolis, Florianópolis-Continente, Garopaba, Gaspar, Jaraguá do Sul-Centro, Jaraguá do Sul-</w:t>
      </w:r>
      <w:proofErr w:type="spellStart"/>
      <w:r>
        <w:rPr>
          <w:rFonts w:ascii="Times New Roman" w:eastAsia="Times New Roman" w:hAnsi="Times New Roman" w:cs="Times New Roman"/>
          <w:color w:val="000000"/>
        </w:rPr>
        <w:t>Rau</w:t>
      </w:r>
      <w:proofErr w:type="spellEnd"/>
      <w:r>
        <w:rPr>
          <w:rStyle w:val="Refdenotaderodap"/>
          <w:rFonts w:ascii="Times New Roman" w:eastAsia="Times New Roman" w:hAnsi="Times New Roman" w:cs="Times New Roman"/>
          <w:color w:val="000000"/>
        </w:rPr>
        <w:footnoteReference w:id="2"/>
      </w:r>
      <w:r>
        <w:rPr>
          <w:rFonts w:ascii="Times New Roman" w:eastAsia="Times New Roman" w:hAnsi="Times New Roman" w:cs="Times New Roman"/>
          <w:color w:val="000000"/>
        </w:rPr>
        <w:t>, Itajaí, Joinville, Lages, São José, Palhoça Bilíngue</w:t>
      </w:r>
      <w:r>
        <w:rPr>
          <w:rStyle w:val="Refdenotaderodap"/>
          <w:rFonts w:ascii="Times New Roman" w:eastAsia="Times New Roman" w:hAnsi="Times New Roman" w:cs="Times New Roman"/>
          <w:color w:val="000000"/>
        </w:rPr>
        <w:footnoteReference w:id="3"/>
      </w:r>
      <w:r>
        <w:rPr>
          <w:rFonts w:ascii="Times New Roman" w:eastAsia="Times New Roman" w:hAnsi="Times New Roman" w:cs="Times New Roman"/>
          <w:color w:val="000000"/>
        </w:rPr>
        <w:t xml:space="preserve">, São Carlos, São Miguel do Oeste, Tubarão, Urupema e Xanxerê, além do Câmpus Avançado São Lourenço do Oeste. Na figura também aparece o futuro </w:t>
      </w:r>
      <w:r>
        <w:rPr>
          <w:rFonts w:ascii="Times New Roman" w:hAnsi="Times New Roman"/>
        </w:rPr>
        <w:t>C</w:t>
      </w:r>
      <w:r>
        <w:rPr>
          <w:rFonts w:ascii="Times New Roman" w:eastAsia="Times New Roman" w:hAnsi="Times New Roman" w:cs="Times New Roman"/>
          <w:color w:val="000000"/>
        </w:rPr>
        <w:t>âmpus Tijucas</w:t>
      </w:r>
      <w:r>
        <w:rPr>
          <w:rStyle w:val="Refdenotaderodap"/>
          <w:rFonts w:ascii="Times New Roman" w:eastAsia="Times New Roman" w:hAnsi="Times New Roman" w:cs="Times New Roman"/>
          <w:color w:val="000000"/>
        </w:rPr>
        <w:footnoteReference w:id="4"/>
      </w:r>
      <w:r>
        <w:rPr>
          <w:rFonts w:ascii="Times New Roman" w:hAnsi="Times New Roman"/>
        </w:rPr>
        <w:t xml:space="preserve">, que faz parte do Plano de Expansão da Rede Federal de Educação Profissional, Científica e Tecnológica - Fase IV. O Polo de Inovação é uma unidade administrativa, vinculada à Reitoria, especializada na prospecção, contratação e gerenciamento de projetos de Pesquisa, Desenvolvimento &amp; Inovação (PD&amp;I) em áreas de competência específicas. Ao Polo de Inovação do IFSC vincula-se a Unidade </w:t>
      </w:r>
      <w:proofErr w:type="spellStart"/>
      <w:r>
        <w:rPr>
          <w:rFonts w:ascii="Times New Roman" w:hAnsi="Times New Roman"/>
        </w:rPr>
        <w:t>Embrapii</w:t>
      </w:r>
      <w:proofErr w:type="spellEnd"/>
      <w:r>
        <w:rPr>
          <w:rFonts w:ascii="Times New Roman" w:hAnsi="Times New Roman"/>
        </w:rPr>
        <w:t xml:space="preserve"> Sistemas Inteligentes de Energia, sediada no Câmpus Florianópolis da instituição.</w:t>
      </w:r>
    </w:p>
    <w:p w:rsidR="005B7AB7" w:rsidRDefault="005B7AB7">
      <w:pPr>
        <w:pStyle w:val="Standard"/>
        <w:widowControl/>
        <w:spacing w:after="57" w:line="360" w:lineRule="auto"/>
        <w:ind w:firstLine="709"/>
        <w:jc w:val="both"/>
        <w:rPr>
          <w:rFonts w:ascii="Times New Roman" w:hAnsi="Times New Roman"/>
        </w:rPr>
      </w:pPr>
    </w:p>
    <w:p w:rsidR="005B7AB7" w:rsidRDefault="00000000">
      <w:pPr>
        <w:pStyle w:val="Standard"/>
        <w:widowControl/>
        <w:tabs>
          <w:tab w:val="left" w:pos="850"/>
        </w:tabs>
        <w:spacing w:line="360" w:lineRule="auto"/>
        <w:jc w:val="both"/>
      </w:pPr>
      <w:r>
        <w:rPr>
          <w:noProof/>
        </w:rPr>
        <w:drawing>
          <wp:inline distT="0" distB="0" distL="0" distR="0">
            <wp:extent cx="6120000" cy="511812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120000" cy="5118120"/>
                    </a:xfrm>
                    <a:prstGeom prst="rect">
                      <a:avLst/>
                    </a:prstGeom>
                    <a:noFill/>
                    <a:ln>
                      <a:noFill/>
                      <a:prstDash/>
                    </a:ln>
                  </pic:spPr>
                </pic:pic>
              </a:graphicData>
            </a:graphic>
          </wp:inline>
        </w:drawing>
      </w:r>
    </w:p>
    <w:p w:rsidR="005B7AB7" w:rsidRDefault="00000000">
      <w:pPr>
        <w:pStyle w:val="Standard"/>
        <w:widowControl/>
        <w:tabs>
          <w:tab w:val="left" w:pos="850"/>
        </w:tabs>
        <w:spacing w:after="57" w:line="360" w:lineRule="auto"/>
        <w:jc w:val="both"/>
        <w:rPr>
          <w:rFonts w:ascii="Times New Roman" w:hAnsi="Times New Roman"/>
        </w:rPr>
      </w:pPr>
      <w:r>
        <w:rPr>
          <w:rFonts w:ascii="Times New Roman" w:hAnsi="Times New Roman"/>
        </w:rPr>
        <w:t xml:space="preserve">Figura 1.1. Distribuição dos </w:t>
      </w:r>
      <w:proofErr w:type="spellStart"/>
      <w:r>
        <w:rPr>
          <w:rFonts w:ascii="Times New Roman" w:hAnsi="Times New Roman"/>
        </w:rPr>
        <w:t>câmpus</w:t>
      </w:r>
      <w:proofErr w:type="spellEnd"/>
      <w:r>
        <w:rPr>
          <w:rFonts w:ascii="Times New Roman" w:hAnsi="Times New Roman"/>
        </w:rPr>
        <w:t xml:space="preserve"> do IFSC no mapa de Santa Catarina.</w:t>
      </w:r>
    </w:p>
    <w:p w:rsidR="005B7AB7" w:rsidRDefault="00000000">
      <w:pPr>
        <w:pStyle w:val="Ttulo2"/>
        <w:numPr>
          <w:ilvl w:val="1"/>
          <w:numId w:val="1"/>
        </w:numPr>
      </w:pPr>
      <w:bookmarkStart w:id="2" w:name="_1fob9te"/>
      <w:bookmarkEnd w:id="2"/>
      <w:r>
        <w:t>HISTÓRICO</w:t>
      </w:r>
    </w:p>
    <w:p w:rsidR="005B7AB7" w:rsidRDefault="00000000">
      <w:pPr>
        <w:pStyle w:val="Standard"/>
        <w:widowControl/>
        <w:spacing w:after="57" w:line="360" w:lineRule="auto"/>
        <w:ind w:firstLine="709"/>
        <w:jc w:val="both"/>
      </w:pPr>
      <w:r>
        <w:rPr>
          <w:rFonts w:ascii="Times New Roman" w:eastAsia="Times New Roman" w:hAnsi="Times New Roman" w:cs="Times New Roman"/>
          <w:color w:val="000000"/>
        </w:rPr>
        <w:tab/>
      </w:r>
      <w:r>
        <w:rPr>
          <w:rFonts w:ascii="Times New Roman" w:hAnsi="Times New Roman"/>
        </w:rPr>
        <w:t xml:space="preserve">O IFSC foi criado em Florianópolis por meio do Decreto nº 7.566, de 23 de setembro de 1909, pelo presidente Nilo Peçanha, como Escola de Aprendizes Artífices de Santa Catarina. Seu objetivo era proporcionar formação profissional aos filhos de classes socioeconômicas menos favorecidas. A primeira sede foi instalada em 1º de setembro de 1910, em um prédio cedido pelo governo do Estado, na Rua Almirante Alvim, no Centro da capital catarinense. Acessando o </w:t>
      </w:r>
      <w:hyperlink r:id="rId15" w:history="1">
        <w:r>
          <w:rPr>
            <w:rFonts w:ascii="Times New Roman" w:hAnsi="Times New Roman"/>
            <w:color w:val="1155CC"/>
            <w:u w:val="single"/>
          </w:rPr>
          <w:t>Portal do IFSC</w:t>
        </w:r>
      </w:hyperlink>
      <w:r>
        <w:rPr>
          <w:rFonts w:ascii="Times New Roman" w:hAnsi="Times New Roman"/>
        </w:rPr>
        <w:t xml:space="preserve"> é possível </w:t>
      </w:r>
      <w:r>
        <w:rPr>
          <w:rFonts w:ascii="Times New Roman" w:hAnsi="Times New Roman"/>
        </w:rPr>
        <w:lastRenderedPageBreak/>
        <w:t xml:space="preserve">conhecer um resumo da história da instituição da criação até os dias atuais. Além disso, pode-se navegar pela </w:t>
      </w:r>
      <w:hyperlink r:id="rId16" w:history="1">
        <w:r>
          <w:rPr>
            <w:rFonts w:ascii="Times New Roman" w:hAnsi="Times New Roman"/>
            <w:color w:val="1155CC"/>
            <w:u w:val="single"/>
          </w:rPr>
          <w:t>linha do tempo</w:t>
        </w:r>
      </w:hyperlink>
      <w:r>
        <w:rPr>
          <w:rFonts w:ascii="Times New Roman" w:hAnsi="Times New Roman"/>
        </w:rPr>
        <w:t xml:space="preserve"> e conhecer os acontecimentos mais relevantes da instituição.</w:t>
      </w:r>
    </w:p>
    <w:p w:rsidR="005B7AB7" w:rsidRDefault="00000000">
      <w:pPr>
        <w:pStyle w:val="Ttulo2"/>
        <w:numPr>
          <w:ilvl w:val="1"/>
          <w:numId w:val="1"/>
        </w:numPr>
      </w:pPr>
      <w:bookmarkStart w:id="3" w:name="_3znysh7"/>
      <w:bookmarkEnd w:id="3"/>
      <w:r>
        <w:t>FINALIDADES, CARACTERÍSTICAS E OBJETIVOS</w:t>
      </w:r>
    </w:p>
    <w:p w:rsidR="005B7AB7" w:rsidRDefault="00000000">
      <w:pPr>
        <w:pStyle w:val="Standard"/>
        <w:widowControl/>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Os Institutos Federais têm por finalidades e características, segundo a Lei nº 11.892/2008:</w:t>
      </w:r>
    </w:p>
    <w:p w:rsidR="005B7AB7" w:rsidRDefault="00000000">
      <w:pPr>
        <w:pStyle w:val="Standard"/>
        <w:widowControl/>
        <w:numPr>
          <w:ilvl w:val="0"/>
          <w:numId w:val="9"/>
        </w:numPr>
        <w:spacing w:line="360" w:lineRule="auto"/>
        <w:ind w:left="737"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Ofertar educação profissional e tecnológica, em todos os seus níveis e modalidades, formando e qualificando cidadãos e cidadãs com vistas à atuação profissional nos diversos setores da economia, com ênfase no desenvolvimento socioeconômico local, regional e nacional;</w:t>
      </w:r>
    </w:p>
    <w:p w:rsidR="005B7AB7" w:rsidRDefault="00000000">
      <w:pPr>
        <w:pStyle w:val="Standard"/>
        <w:widowControl/>
        <w:numPr>
          <w:ilvl w:val="0"/>
          <w:numId w:val="3"/>
        </w:numPr>
        <w:spacing w:line="360" w:lineRule="auto"/>
        <w:ind w:left="737"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Desenvolver a educação profissional e tecnológica como processo educativo e investigativo de geração e adaptação de soluções técnicas e tecnológicas às demandas sociais e peculiaridades regionais;</w:t>
      </w:r>
    </w:p>
    <w:p w:rsidR="005B7AB7" w:rsidRDefault="00000000">
      <w:pPr>
        <w:pStyle w:val="Standard"/>
        <w:widowControl/>
        <w:numPr>
          <w:ilvl w:val="0"/>
          <w:numId w:val="3"/>
        </w:numPr>
        <w:spacing w:line="360" w:lineRule="auto"/>
        <w:ind w:left="737"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Promover a integração e a verticalização da educação básica à educação profissional e educação superior, otimizando a infraestrutura física, os quadros de pessoal e os recursos de gestão;</w:t>
      </w:r>
    </w:p>
    <w:p w:rsidR="005B7AB7" w:rsidRDefault="00000000">
      <w:pPr>
        <w:pStyle w:val="Standard"/>
        <w:widowControl/>
        <w:numPr>
          <w:ilvl w:val="0"/>
          <w:numId w:val="3"/>
        </w:numPr>
        <w:spacing w:line="360" w:lineRule="auto"/>
        <w:ind w:left="737" w:hanging="57"/>
        <w:jc w:val="both"/>
      </w:pPr>
      <w:r>
        <w:rPr>
          <w:rFonts w:ascii="Times New Roman" w:eastAsia="Times New Roman" w:hAnsi="Times New Roman" w:cs="Times New Roman"/>
          <w:color w:val="000000"/>
        </w:rPr>
        <w:t>Orientar sua oferta formativa em benefício da consolidação</w:t>
      </w:r>
      <w:r>
        <w:rPr>
          <w:rFonts w:ascii="Times New Roman" w:eastAsia="Times New Roman" w:hAnsi="Times New Roman" w:cs="Times New Roman"/>
          <w:color w:val="000000"/>
          <w:shd w:val="clear" w:color="auto" w:fill="FFFFFF"/>
        </w:rPr>
        <w:t xml:space="preserve"> e do fortal</w:t>
      </w:r>
      <w:r>
        <w:rPr>
          <w:rFonts w:ascii="Times New Roman" w:eastAsia="Times New Roman" w:hAnsi="Times New Roman" w:cs="Times New Roman"/>
          <w:color w:val="000000"/>
        </w:rPr>
        <w:t>ecimento dos arranjos produtivos, sociais e culturais locais, identificados com base no mapeamento das potencialidades de desenvolvimento socioeconômico e cultural no âmbito de atuação do Instituto Federal;</w:t>
      </w:r>
    </w:p>
    <w:p w:rsidR="005B7AB7" w:rsidRDefault="00000000">
      <w:pPr>
        <w:pStyle w:val="Standard"/>
        <w:widowControl/>
        <w:numPr>
          <w:ilvl w:val="0"/>
          <w:numId w:val="3"/>
        </w:numPr>
        <w:spacing w:line="360" w:lineRule="auto"/>
        <w:ind w:left="737"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Constituir-se em centro de excelência na oferta do ensino de ciências, em geral, e de ciências aplicadas, em particular, estimulando o desenvolvimento de espírito crítico, voltado à investigação empírica;</w:t>
      </w:r>
    </w:p>
    <w:p w:rsidR="005B7AB7" w:rsidRDefault="00000000">
      <w:pPr>
        <w:pStyle w:val="Standard"/>
        <w:widowControl/>
        <w:numPr>
          <w:ilvl w:val="0"/>
          <w:numId w:val="3"/>
        </w:numPr>
        <w:spacing w:line="360" w:lineRule="auto"/>
        <w:ind w:left="737"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Qualificar-se como centro de referência no apoio à oferta do ensino de ciências nas instituições públicas de ensino, oferecendo capacitação técnica e atualização pedagógica aos docentes das redes públicas de ensino;</w:t>
      </w:r>
    </w:p>
    <w:p w:rsidR="005B7AB7" w:rsidRDefault="00000000">
      <w:pPr>
        <w:pStyle w:val="Standard"/>
        <w:widowControl/>
        <w:numPr>
          <w:ilvl w:val="0"/>
          <w:numId w:val="3"/>
        </w:numPr>
        <w:spacing w:line="360" w:lineRule="auto"/>
        <w:ind w:left="737"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Desenvolver programas de extensão e de divulgação científica e tecnológica;</w:t>
      </w:r>
    </w:p>
    <w:p w:rsidR="005B7AB7" w:rsidRDefault="00000000">
      <w:pPr>
        <w:pStyle w:val="Standard"/>
        <w:widowControl/>
        <w:numPr>
          <w:ilvl w:val="0"/>
          <w:numId w:val="3"/>
        </w:numPr>
        <w:spacing w:line="360" w:lineRule="auto"/>
        <w:ind w:left="737"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Realizar e estimular a pesquisa aplicada, a produção cultural, o empreendedorismo, o cooperativismo e o desenvolvimento científico e tecnológico;</w:t>
      </w:r>
    </w:p>
    <w:p w:rsidR="005B7AB7" w:rsidRDefault="00000000">
      <w:pPr>
        <w:pStyle w:val="Standard"/>
        <w:widowControl/>
        <w:numPr>
          <w:ilvl w:val="0"/>
          <w:numId w:val="3"/>
        </w:numPr>
        <w:spacing w:line="360" w:lineRule="auto"/>
        <w:ind w:left="737"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Promover a produção, o desenvolvimento e a transferência de tecnologias sociais, notadamente as voltadas à preservação do meio ambiente.</w:t>
      </w:r>
    </w:p>
    <w:p w:rsidR="005B7AB7" w:rsidRDefault="00000000">
      <w:pPr>
        <w:pStyle w:val="Standard"/>
        <w:keepNext/>
        <w:widowControl/>
        <w:spacing w:before="340" w:after="57"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São objetivos dos Institutos Federais, segundo a Lei nº 11.892/2008:</w:t>
      </w:r>
    </w:p>
    <w:p w:rsidR="005B7AB7" w:rsidRDefault="00000000">
      <w:pPr>
        <w:pStyle w:val="Standard"/>
        <w:widowControl/>
        <w:numPr>
          <w:ilvl w:val="0"/>
          <w:numId w:val="10"/>
        </w:numPr>
        <w:spacing w:line="360" w:lineRule="auto"/>
        <w:ind w:left="794"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Ministrar educação profissional técnica de nível médio, prioritariamente na forma de cursos integrados, para os concluintes do ensino fundamental e para o público da educação de jovens e adultos;</w:t>
      </w:r>
    </w:p>
    <w:p w:rsidR="005B7AB7" w:rsidRDefault="00000000">
      <w:pPr>
        <w:pStyle w:val="Standard"/>
        <w:widowControl/>
        <w:numPr>
          <w:ilvl w:val="0"/>
          <w:numId w:val="5"/>
        </w:numPr>
        <w:spacing w:line="360" w:lineRule="auto"/>
        <w:ind w:left="794"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Ministrar cursos de formação inicial e continuada de trabalhadores e trabalhadoras, objetivando a capacitação, o aperfeiçoamento, a especialização e a atualização de profissionais, em todos os níveis de escolaridade, nas áreas da educação profissional e tecnológica;</w:t>
      </w:r>
    </w:p>
    <w:p w:rsidR="005B7AB7" w:rsidRDefault="00000000">
      <w:pPr>
        <w:pStyle w:val="Standard"/>
        <w:widowControl/>
        <w:numPr>
          <w:ilvl w:val="0"/>
          <w:numId w:val="5"/>
        </w:numPr>
        <w:spacing w:line="360" w:lineRule="auto"/>
        <w:ind w:left="794"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Realizar pesquisas aplicadas, estimulando o desenvolvimento de soluções técnicas e tecnológicas, estendendo seus benefícios à comunidade;</w:t>
      </w:r>
    </w:p>
    <w:p w:rsidR="005B7AB7" w:rsidRDefault="00000000">
      <w:pPr>
        <w:pStyle w:val="Standard"/>
        <w:widowControl/>
        <w:numPr>
          <w:ilvl w:val="0"/>
          <w:numId w:val="5"/>
        </w:numPr>
        <w:spacing w:line="360" w:lineRule="auto"/>
        <w:ind w:left="794"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Desenvolver atividades de extensão de acordo com os princípios e finalidades da educação profissional e tecnológica, em articulação com o mundo do trabalho e os segmentos sociais, e com ênfase na produção, desenvolvimento e difusão de conhecimentos científicos e tecnológicos;</w:t>
      </w:r>
    </w:p>
    <w:p w:rsidR="005B7AB7" w:rsidRDefault="00000000">
      <w:pPr>
        <w:pStyle w:val="Standard"/>
        <w:widowControl/>
        <w:numPr>
          <w:ilvl w:val="0"/>
          <w:numId w:val="5"/>
        </w:numPr>
        <w:spacing w:line="360" w:lineRule="auto"/>
        <w:ind w:left="794"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Estimular e apoiar processos educativos que levem à geração de trabalho e renda e à emancipação do cidadão e da cidadã na perspectiva do desenvolvimento socioeconômico local e regional;</w:t>
      </w:r>
    </w:p>
    <w:p w:rsidR="005B7AB7" w:rsidRDefault="00000000">
      <w:pPr>
        <w:pStyle w:val="Standard"/>
        <w:widowControl/>
        <w:numPr>
          <w:ilvl w:val="0"/>
          <w:numId w:val="5"/>
        </w:numPr>
        <w:spacing w:line="360" w:lineRule="auto"/>
        <w:ind w:left="794" w:hanging="57"/>
        <w:jc w:val="both"/>
        <w:rPr>
          <w:rFonts w:ascii="Times New Roman" w:eastAsia="Times New Roman" w:hAnsi="Times New Roman" w:cs="Times New Roman"/>
          <w:color w:val="000000"/>
        </w:rPr>
      </w:pPr>
      <w:r>
        <w:rPr>
          <w:rFonts w:ascii="Times New Roman" w:eastAsia="Times New Roman" w:hAnsi="Times New Roman" w:cs="Times New Roman"/>
          <w:color w:val="000000"/>
        </w:rPr>
        <w:t>Ministrar, em nível de educação superior:</w:t>
      </w:r>
    </w:p>
    <w:p w:rsidR="005B7AB7" w:rsidRDefault="00000000">
      <w:pPr>
        <w:pStyle w:val="Standard"/>
        <w:widowControl/>
        <w:numPr>
          <w:ilvl w:val="1"/>
          <w:numId w:val="2"/>
        </w:numPr>
        <w:tabs>
          <w:tab w:val="left" w:pos="1980"/>
        </w:tabs>
        <w:spacing w:line="360" w:lineRule="auto"/>
        <w:ind w:left="1020" w:hanging="227"/>
        <w:jc w:val="both"/>
        <w:rPr>
          <w:rFonts w:ascii="Times New Roman" w:eastAsia="Times New Roman" w:hAnsi="Times New Roman" w:cs="Times New Roman"/>
          <w:color w:val="000000"/>
        </w:rPr>
      </w:pPr>
      <w:r>
        <w:rPr>
          <w:rFonts w:ascii="Times New Roman" w:eastAsia="Times New Roman" w:hAnsi="Times New Roman" w:cs="Times New Roman"/>
          <w:color w:val="000000"/>
        </w:rPr>
        <w:t>Cursos superiores de tecnologia visando à formação de profissionais para os diferentes setores da economia;</w:t>
      </w:r>
    </w:p>
    <w:p w:rsidR="005B7AB7" w:rsidRDefault="00000000">
      <w:pPr>
        <w:pStyle w:val="Standard"/>
        <w:widowControl/>
        <w:numPr>
          <w:ilvl w:val="1"/>
          <w:numId w:val="2"/>
        </w:numPr>
        <w:tabs>
          <w:tab w:val="left" w:pos="1980"/>
        </w:tabs>
        <w:spacing w:line="360" w:lineRule="auto"/>
        <w:ind w:left="1020" w:hanging="227"/>
        <w:jc w:val="both"/>
        <w:rPr>
          <w:rFonts w:ascii="Times New Roman" w:eastAsia="Times New Roman" w:hAnsi="Times New Roman" w:cs="Times New Roman"/>
          <w:color w:val="000000"/>
        </w:rPr>
      </w:pPr>
      <w:r>
        <w:rPr>
          <w:rFonts w:ascii="Times New Roman" w:eastAsia="Times New Roman" w:hAnsi="Times New Roman" w:cs="Times New Roman"/>
          <w:color w:val="000000"/>
        </w:rPr>
        <w:t>Cursos de licenciatura, bem como programas especiais de formação pedagógica, com vistas na formação de professores para a educação básica, sobretudo nas áreas de ciências e matemática, e para a educação profissional;</w:t>
      </w:r>
    </w:p>
    <w:p w:rsidR="005B7AB7" w:rsidRDefault="00000000">
      <w:pPr>
        <w:pStyle w:val="Standard"/>
        <w:widowControl/>
        <w:numPr>
          <w:ilvl w:val="1"/>
          <w:numId w:val="2"/>
        </w:numPr>
        <w:tabs>
          <w:tab w:val="left" w:pos="1980"/>
        </w:tabs>
        <w:spacing w:line="360" w:lineRule="auto"/>
        <w:ind w:left="1020" w:hanging="227"/>
        <w:jc w:val="both"/>
        <w:rPr>
          <w:rFonts w:ascii="Times New Roman" w:eastAsia="Times New Roman" w:hAnsi="Times New Roman" w:cs="Times New Roman"/>
          <w:color w:val="000000"/>
        </w:rPr>
      </w:pPr>
      <w:r>
        <w:rPr>
          <w:rFonts w:ascii="Times New Roman" w:eastAsia="Times New Roman" w:hAnsi="Times New Roman" w:cs="Times New Roman"/>
          <w:color w:val="000000"/>
        </w:rPr>
        <w:t>Cursos de bacharelado e engenharia, visando à formação de profissionais para os diferentes setores da economia e áreas do conhecimento;</w:t>
      </w:r>
    </w:p>
    <w:p w:rsidR="005B7AB7" w:rsidRDefault="00000000">
      <w:pPr>
        <w:pStyle w:val="Standard"/>
        <w:widowControl/>
        <w:numPr>
          <w:ilvl w:val="1"/>
          <w:numId w:val="2"/>
        </w:numPr>
        <w:tabs>
          <w:tab w:val="left" w:pos="1980"/>
        </w:tabs>
        <w:spacing w:line="360" w:lineRule="auto"/>
        <w:ind w:left="1020" w:hanging="227"/>
        <w:jc w:val="both"/>
      </w:pPr>
      <w:r>
        <w:rPr>
          <w:rFonts w:ascii="Times New Roman" w:eastAsia="Times New Roman" w:hAnsi="Times New Roman" w:cs="Times New Roman"/>
          <w:color w:val="000000"/>
        </w:rPr>
        <w:t xml:space="preserve">Cursos de pós-graduação </w:t>
      </w:r>
      <w:r>
        <w:rPr>
          <w:rFonts w:ascii="Times New Roman" w:eastAsia="Times New Roman" w:hAnsi="Times New Roman" w:cs="Times New Roman"/>
          <w:i/>
          <w:color w:val="000000"/>
        </w:rPr>
        <w:t>lato sensu</w:t>
      </w:r>
      <w:r>
        <w:rPr>
          <w:rFonts w:ascii="Times New Roman" w:eastAsia="Times New Roman" w:hAnsi="Times New Roman" w:cs="Times New Roman"/>
          <w:color w:val="000000"/>
        </w:rPr>
        <w:t xml:space="preserve"> de aperfeiçoamento e especialização, visando à formação de especialistas nas diferentes áreas do conhecimento; e</w:t>
      </w:r>
    </w:p>
    <w:p w:rsidR="005B7AB7" w:rsidRDefault="00000000">
      <w:pPr>
        <w:pStyle w:val="Standard"/>
        <w:widowControl/>
        <w:numPr>
          <w:ilvl w:val="1"/>
          <w:numId w:val="2"/>
        </w:numPr>
        <w:tabs>
          <w:tab w:val="left" w:pos="1980"/>
        </w:tabs>
        <w:spacing w:line="360" w:lineRule="auto"/>
        <w:ind w:left="1020" w:hanging="227"/>
        <w:jc w:val="both"/>
      </w:pPr>
      <w:r>
        <w:rPr>
          <w:rFonts w:ascii="Times New Roman" w:eastAsia="Times New Roman" w:hAnsi="Times New Roman" w:cs="Times New Roman"/>
          <w:color w:val="000000"/>
        </w:rPr>
        <w:t xml:space="preserve">Cursos de pós-graduação </w:t>
      </w:r>
      <w:r>
        <w:rPr>
          <w:rFonts w:ascii="Times New Roman" w:eastAsia="Times New Roman" w:hAnsi="Times New Roman" w:cs="Times New Roman"/>
          <w:i/>
          <w:color w:val="000000"/>
        </w:rPr>
        <w:t xml:space="preserve">stricto sensu </w:t>
      </w:r>
      <w:r>
        <w:rPr>
          <w:rFonts w:ascii="Times New Roman" w:eastAsia="Times New Roman" w:hAnsi="Times New Roman" w:cs="Times New Roman"/>
          <w:color w:val="000000"/>
        </w:rPr>
        <w:t>de mestrado e doutorado, que contribuam para promover o estabelecimento de bases sólidas em educação, ciência e tecnologia, com vistas aos processos de geração e de inovação tecnológica.</w:t>
      </w:r>
    </w:p>
    <w:p w:rsidR="005B7AB7" w:rsidRDefault="00000000">
      <w:pPr>
        <w:pStyle w:val="Standard"/>
        <w:widowControl/>
        <w:spacing w:after="57"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Além dessas finalidades, características e objetivos, destaca-se o papel dos Institutos Federais como instituições acreditadoras e certificadoras de competências profissionais, conforme </w:t>
      </w:r>
      <w:proofErr w:type="spellStart"/>
      <w:r>
        <w:rPr>
          <w:rFonts w:ascii="Times New Roman" w:eastAsia="Times New Roman" w:hAnsi="Times New Roman" w:cs="Times New Roman"/>
          <w:color w:val="000000"/>
        </w:rPr>
        <w:t>art</w:t>
      </w:r>
      <w:proofErr w:type="spellEnd"/>
      <w:r>
        <w:rPr>
          <w:rFonts w:ascii="Times New Roman" w:eastAsia="Times New Roman" w:hAnsi="Times New Roman" w:cs="Times New Roman"/>
          <w:color w:val="000000"/>
        </w:rPr>
        <w:t xml:space="preserve"> 2º da Lei nº 11.892/2008.</w:t>
      </w:r>
    </w:p>
    <w:p w:rsidR="005B7AB7" w:rsidRDefault="00000000">
      <w:pPr>
        <w:pStyle w:val="Ttulo2"/>
        <w:numPr>
          <w:ilvl w:val="1"/>
          <w:numId w:val="1"/>
        </w:numPr>
      </w:pPr>
      <w:bookmarkStart w:id="4" w:name="_2et92p0"/>
      <w:bookmarkEnd w:id="4"/>
      <w:r>
        <w:t>MISSÃO, VISÃO E VALORES</w:t>
      </w:r>
    </w:p>
    <w:p w:rsidR="005B7AB7" w:rsidRDefault="00000000">
      <w:pPr>
        <w:pStyle w:val="Standard"/>
        <w:widowControl/>
        <w:spacing w:after="57"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b/>
        <w:t>As declarações de Missão, Visão e Valores são três dos elementos que constituem a identidade de uma organização, independentemente de sua área de atuação e do pertencimento à esfera pública ou privada.</w:t>
      </w:r>
    </w:p>
    <w:p w:rsidR="005B7AB7" w:rsidRDefault="00000000">
      <w:pPr>
        <w:pStyle w:val="Standard"/>
        <w:widowControl/>
        <w:spacing w:after="57"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 Missão institucional deve ser entendida como a razão da existência da organização. No caso da administração pública, a missão é uma forma mais simples e sintética de comunicar finalidades legalmente dispostas para a organização.</w:t>
      </w:r>
    </w:p>
    <w:p w:rsidR="005B7AB7" w:rsidRDefault="00000000">
      <w:pPr>
        <w:pStyle w:val="Standard"/>
        <w:widowControl/>
        <w:spacing w:after="57"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 Visão descreve um cenário a ser concretizado no futuro, de modo a criar sinergia e convergência de esforços na direção de como a organização entende que deve ser ou aonde quer chegar.</w:t>
      </w:r>
    </w:p>
    <w:p w:rsidR="005B7AB7" w:rsidRDefault="00000000">
      <w:pPr>
        <w:pStyle w:val="Standard"/>
        <w:widowControl/>
        <w:spacing w:after="57"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Por sua vez, os Valores Institucionais são princípios dos quais a organização não pode abrir mão quando planejar e desenvolver sua ação, delimitando os caminhos possíveis à realização de sua visão de futuro.</w:t>
      </w:r>
    </w:p>
    <w:p w:rsidR="005B7AB7" w:rsidRDefault="005B7AB7">
      <w:pPr>
        <w:pStyle w:val="Standard"/>
        <w:widowControl/>
        <w:spacing w:after="57" w:line="360" w:lineRule="auto"/>
        <w:jc w:val="center"/>
        <w:rPr>
          <w:rFonts w:ascii="Times New Roman" w:hAnsi="Times New Roman"/>
          <w:b/>
        </w:rPr>
      </w:pPr>
      <w:bookmarkStart w:id="5" w:name="_b69tf2grf9cd"/>
      <w:bookmarkEnd w:id="5"/>
    </w:p>
    <w:p w:rsidR="005B7AB7" w:rsidRDefault="00000000">
      <w:pPr>
        <w:pStyle w:val="Standard"/>
        <w:widowControl/>
        <w:spacing w:after="57" w:line="360" w:lineRule="auto"/>
        <w:jc w:val="center"/>
        <w:rPr>
          <w:rFonts w:ascii="Times New Roman" w:eastAsia="Times New Roman" w:hAnsi="Times New Roman" w:cs="Times New Roman"/>
          <w:b/>
          <w:color w:val="000000"/>
        </w:rPr>
      </w:pPr>
      <w:bookmarkStart w:id="6" w:name="_tyjcwt"/>
      <w:bookmarkEnd w:id="6"/>
      <w:r>
        <w:rPr>
          <w:rFonts w:ascii="Times New Roman" w:eastAsia="Times New Roman" w:hAnsi="Times New Roman" w:cs="Times New Roman"/>
          <w:b/>
          <w:color w:val="000000"/>
        </w:rPr>
        <w:t>Missão</w:t>
      </w:r>
    </w:p>
    <w:p w:rsidR="005B7AB7" w:rsidRDefault="00000000">
      <w:pPr>
        <w:pStyle w:val="Standard"/>
        <w:widowControl/>
        <w:spacing w:after="57" w:line="360" w:lineRule="auto"/>
        <w:ind w:firstLine="709"/>
        <w:jc w:val="center"/>
        <w:rPr>
          <w:rFonts w:ascii="Times New Roman" w:hAnsi="Times New Roman"/>
        </w:rPr>
      </w:pPr>
      <w:r>
        <w:rPr>
          <w:rFonts w:ascii="Times New Roman" w:hAnsi="Times New Roman"/>
        </w:rPr>
        <w:t>Promover a inclusão e formar cidadãos e cidadãs para a transformação social, por meio da educação profissional, científica e tecnológica, gerando, difundindo e aplicando conhecimento e inovação, contribuindo para o desenvolvimento social, econômico e cultural.</w:t>
      </w:r>
    </w:p>
    <w:p w:rsidR="005B7AB7" w:rsidRDefault="005B7AB7">
      <w:pPr>
        <w:pStyle w:val="Standard"/>
        <w:widowControl/>
        <w:spacing w:after="57" w:line="360" w:lineRule="auto"/>
        <w:jc w:val="center"/>
        <w:rPr>
          <w:rFonts w:ascii="Times New Roman" w:hAnsi="Times New Roman"/>
          <w:b/>
        </w:rPr>
      </w:pPr>
      <w:bookmarkStart w:id="7" w:name="_vdsbi7cqk3b"/>
      <w:bookmarkEnd w:id="7"/>
    </w:p>
    <w:p w:rsidR="005B7AB7" w:rsidRDefault="00000000">
      <w:pPr>
        <w:pStyle w:val="Standard"/>
        <w:widowControl/>
        <w:spacing w:after="57" w:line="360" w:lineRule="auto"/>
        <w:jc w:val="center"/>
        <w:rPr>
          <w:rFonts w:ascii="Times New Roman" w:eastAsia="Times New Roman" w:hAnsi="Times New Roman" w:cs="Times New Roman"/>
          <w:b/>
          <w:color w:val="000000"/>
        </w:rPr>
      </w:pPr>
      <w:bookmarkStart w:id="8" w:name="_3dy6vkm"/>
      <w:bookmarkEnd w:id="8"/>
      <w:r>
        <w:rPr>
          <w:rFonts w:ascii="Times New Roman" w:eastAsia="Times New Roman" w:hAnsi="Times New Roman" w:cs="Times New Roman"/>
          <w:b/>
          <w:color w:val="000000"/>
        </w:rPr>
        <w:t>Visão</w:t>
      </w:r>
    </w:p>
    <w:p w:rsidR="005B7AB7" w:rsidRDefault="00000000">
      <w:pPr>
        <w:pStyle w:val="Standard"/>
        <w:widowControl/>
        <w:spacing w:after="57" w:line="360" w:lineRule="auto"/>
        <w:jc w:val="center"/>
        <w:rPr>
          <w:rFonts w:ascii="Times New Roman" w:hAnsi="Times New Roman"/>
        </w:rPr>
      </w:pPr>
      <w:bookmarkStart w:id="9" w:name="_amqlq02jlh4t"/>
      <w:bookmarkEnd w:id="9"/>
      <w:r>
        <w:rPr>
          <w:rFonts w:ascii="Times New Roman" w:hAnsi="Times New Roman"/>
        </w:rPr>
        <w:t>Ser uma instituição de referência em educação profissional, científica e tecnológica com inclusão, acesso, permanência e êxito, fundamentada na gestão participativa humanizada e na indissociabilidade entre ensino, pesquisa e extensão.</w:t>
      </w:r>
    </w:p>
    <w:p w:rsidR="005B7AB7" w:rsidRDefault="005B7AB7">
      <w:pPr>
        <w:pStyle w:val="Standard"/>
        <w:widowControl/>
        <w:spacing w:after="57" w:line="360" w:lineRule="auto"/>
        <w:jc w:val="center"/>
        <w:rPr>
          <w:rFonts w:ascii="Times New Roman" w:hAnsi="Times New Roman"/>
        </w:rPr>
      </w:pPr>
      <w:bookmarkStart w:id="10" w:name="_y1otp99yuuh7"/>
      <w:bookmarkEnd w:id="10"/>
    </w:p>
    <w:p w:rsidR="005B7AB7" w:rsidRDefault="00000000">
      <w:pPr>
        <w:pStyle w:val="Standard"/>
        <w:widowControl/>
        <w:spacing w:after="57" w:line="360" w:lineRule="auto"/>
        <w:jc w:val="center"/>
        <w:rPr>
          <w:rFonts w:ascii="Times New Roman" w:eastAsia="Times New Roman" w:hAnsi="Times New Roman" w:cs="Times New Roman"/>
          <w:b/>
          <w:color w:val="000000"/>
        </w:rPr>
      </w:pPr>
      <w:bookmarkStart w:id="11" w:name="_1t3h5sf"/>
      <w:bookmarkEnd w:id="11"/>
      <w:r>
        <w:rPr>
          <w:rFonts w:ascii="Times New Roman" w:eastAsia="Times New Roman" w:hAnsi="Times New Roman" w:cs="Times New Roman"/>
          <w:b/>
          <w:color w:val="000000"/>
        </w:rPr>
        <w:lastRenderedPageBreak/>
        <w:t>Valores</w:t>
      </w:r>
    </w:p>
    <w:p w:rsidR="005B7AB7" w:rsidRDefault="00000000">
      <w:pPr>
        <w:pStyle w:val="Standard"/>
        <w:widowControl/>
        <w:numPr>
          <w:ilvl w:val="0"/>
          <w:numId w:val="11"/>
        </w:numPr>
        <w:spacing w:line="360" w:lineRule="auto"/>
        <w:jc w:val="both"/>
        <w:rPr>
          <w:rFonts w:ascii="Times New Roman" w:hAnsi="Times New Roman"/>
        </w:rPr>
      </w:pPr>
      <w:bookmarkStart w:id="12" w:name="_vxj8or1p3v79"/>
      <w:bookmarkEnd w:id="12"/>
      <w:r>
        <w:rPr>
          <w:rFonts w:ascii="Times New Roman" w:hAnsi="Times New Roman"/>
          <w:b/>
        </w:rPr>
        <w:t>Compromisso Social</w:t>
      </w:r>
      <w:r>
        <w:rPr>
          <w:rFonts w:ascii="Times New Roman" w:hAnsi="Times New Roman"/>
        </w:rPr>
        <w:t>, pautado pelo reconhecimento e acolhimento às diferenças históricas, econômicas, culturais e sociais.</w:t>
      </w:r>
    </w:p>
    <w:p w:rsidR="005B7AB7" w:rsidRDefault="00000000">
      <w:pPr>
        <w:pStyle w:val="Standard"/>
        <w:widowControl/>
        <w:numPr>
          <w:ilvl w:val="0"/>
          <w:numId w:val="6"/>
        </w:numPr>
        <w:spacing w:after="57" w:line="360" w:lineRule="auto"/>
        <w:jc w:val="both"/>
        <w:rPr>
          <w:rFonts w:ascii="Times New Roman" w:hAnsi="Times New Roman"/>
        </w:rPr>
      </w:pPr>
      <w:bookmarkStart w:id="13" w:name="_4jkg9m94c24m"/>
      <w:bookmarkEnd w:id="13"/>
      <w:r>
        <w:rPr>
          <w:rFonts w:ascii="Times New Roman" w:hAnsi="Times New Roman"/>
          <w:b/>
        </w:rPr>
        <w:t>Democracia</w:t>
      </w:r>
      <w:r>
        <w:rPr>
          <w:rFonts w:ascii="Times New Roman" w:hAnsi="Times New Roman"/>
        </w:rPr>
        <w:t>, pautada pelos princípios de liberdade, participação, corresponsabilidade e</w:t>
      </w:r>
    </w:p>
    <w:p w:rsidR="005B7AB7" w:rsidRDefault="00000000">
      <w:pPr>
        <w:pStyle w:val="Standard"/>
        <w:widowControl/>
        <w:spacing w:after="57" w:line="360" w:lineRule="auto"/>
        <w:ind w:left="720"/>
        <w:jc w:val="both"/>
        <w:rPr>
          <w:rFonts w:ascii="Times New Roman" w:hAnsi="Times New Roman"/>
        </w:rPr>
      </w:pPr>
      <w:bookmarkStart w:id="14" w:name="_tse61ma0y36y"/>
      <w:bookmarkEnd w:id="14"/>
      <w:r>
        <w:rPr>
          <w:rFonts w:ascii="Times New Roman" w:hAnsi="Times New Roman"/>
        </w:rPr>
        <w:t>respeito à coletividade e à diversidade.</w:t>
      </w:r>
    </w:p>
    <w:p w:rsidR="005B7AB7" w:rsidRDefault="00000000">
      <w:pPr>
        <w:pStyle w:val="Standard"/>
        <w:widowControl/>
        <w:numPr>
          <w:ilvl w:val="0"/>
          <w:numId w:val="6"/>
        </w:numPr>
        <w:spacing w:line="360" w:lineRule="auto"/>
        <w:jc w:val="both"/>
        <w:rPr>
          <w:rFonts w:ascii="Times New Roman" w:hAnsi="Times New Roman"/>
        </w:rPr>
      </w:pPr>
      <w:bookmarkStart w:id="15" w:name="_ao3px6ay9xz3"/>
      <w:bookmarkEnd w:id="15"/>
      <w:r>
        <w:rPr>
          <w:rFonts w:ascii="Times New Roman" w:hAnsi="Times New Roman"/>
          <w:b/>
        </w:rPr>
        <w:t>Equidade</w:t>
      </w:r>
      <w:r>
        <w:rPr>
          <w:rFonts w:ascii="Times New Roman" w:hAnsi="Times New Roman"/>
        </w:rPr>
        <w:t>, pautada em princípios éticos nas relações sociais e nos processos de gestão.</w:t>
      </w:r>
    </w:p>
    <w:p w:rsidR="005B7AB7" w:rsidRDefault="00000000">
      <w:pPr>
        <w:pStyle w:val="Standard"/>
        <w:widowControl/>
        <w:numPr>
          <w:ilvl w:val="0"/>
          <w:numId w:val="6"/>
        </w:numPr>
        <w:spacing w:line="360" w:lineRule="auto"/>
        <w:jc w:val="both"/>
        <w:rPr>
          <w:rFonts w:ascii="Times New Roman" w:hAnsi="Times New Roman"/>
        </w:rPr>
      </w:pPr>
      <w:bookmarkStart w:id="16" w:name="_10b5iw5202wj"/>
      <w:bookmarkEnd w:id="16"/>
      <w:r>
        <w:rPr>
          <w:rFonts w:ascii="Times New Roman" w:hAnsi="Times New Roman"/>
          <w:b/>
        </w:rPr>
        <w:t>Ética,</w:t>
      </w:r>
      <w:r>
        <w:rPr>
          <w:rFonts w:ascii="Times New Roman" w:hAnsi="Times New Roman"/>
        </w:rPr>
        <w:t xml:space="preserve"> pautada na perspectiva pedagógica e de integridade, justiça social, solidariedade e responsabilidade individual e coletiva.</w:t>
      </w:r>
    </w:p>
    <w:p w:rsidR="005B7AB7" w:rsidRDefault="00000000">
      <w:pPr>
        <w:pStyle w:val="Standard"/>
        <w:widowControl/>
        <w:numPr>
          <w:ilvl w:val="0"/>
          <w:numId w:val="6"/>
        </w:numPr>
        <w:spacing w:line="360" w:lineRule="auto"/>
        <w:jc w:val="both"/>
        <w:rPr>
          <w:rFonts w:ascii="Times New Roman" w:hAnsi="Times New Roman"/>
        </w:rPr>
      </w:pPr>
      <w:bookmarkStart w:id="17" w:name="_ph0rrx2w4r6j"/>
      <w:bookmarkEnd w:id="17"/>
      <w:r>
        <w:rPr>
          <w:rFonts w:ascii="Times New Roman" w:hAnsi="Times New Roman"/>
          <w:b/>
        </w:rPr>
        <w:t>Integridade</w:t>
      </w:r>
      <w:r>
        <w:rPr>
          <w:rFonts w:ascii="Times New Roman" w:hAnsi="Times New Roman"/>
        </w:rPr>
        <w:t>, pautada por princípios éticos, de transparência, boas práticas de governança e responsabilidade com o bem público.</w:t>
      </w:r>
    </w:p>
    <w:p w:rsidR="005B7AB7" w:rsidRDefault="00000000">
      <w:pPr>
        <w:pStyle w:val="Standard"/>
        <w:widowControl/>
        <w:numPr>
          <w:ilvl w:val="0"/>
          <w:numId w:val="6"/>
        </w:numPr>
        <w:spacing w:after="57" w:line="360" w:lineRule="auto"/>
        <w:jc w:val="both"/>
        <w:rPr>
          <w:rFonts w:ascii="Times New Roman" w:hAnsi="Times New Roman"/>
        </w:rPr>
      </w:pPr>
      <w:bookmarkStart w:id="18" w:name="_imcb73ikc7zz"/>
      <w:bookmarkEnd w:id="18"/>
      <w:r>
        <w:rPr>
          <w:rFonts w:ascii="Times New Roman" w:hAnsi="Times New Roman"/>
          <w:b/>
        </w:rPr>
        <w:t>Inovação</w:t>
      </w:r>
      <w:r>
        <w:rPr>
          <w:rFonts w:ascii="Times New Roman" w:hAnsi="Times New Roman"/>
        </w:rPr>
        <w:t>, pautada em processos que estimulem ações criativas e soluções diferenciadas</w:t>
      </w:r>
    </w:p>
    <w:p w:rsidR="005B7AB7" w:rsidRDefault="00000000">
      <w:pPr>
        <w:pStyle w:val="Standard"/>
        <w:widowControl/>
        <w:spacing w:after="57" w:line="360" w:lineRule="auto"/>
        <w:ind w:left="720"/>
        <w:jc w:val="both"/>
        <w:rPr>
          <w:rFonts w:ascii="Times New Roman" w:hAnsi="Times New Roman"/>
        </w:rPr>
      </w:pPr>
      <w:bookmarkStart w:id="19" w:name="_b8fft833q2z"/>
      <w:bookmarkEnd w:id="19"/>
      <w:r>
        <w:rPr>
          <w:rFonts w:ascii="Times New Roman" w:hAnsi="Times New Roman"/>
        </w:rPr>
        <w:t>à sociedade.</w:t>
      </w:r>
    </w:p>
    <w:p w:rsidR="005B7AB7" w:rsidRDefault="00000000">
      <w:pPr>
        <w:pStyle w:val="Standard"/>
        <w:widowControl/>
        <w:numPr>
          <w:ilvl w:val="0"/>
          <w:numId w:val="6"/>
        </w:numPr>
        <w:spacing w:line="360" w:lineRule="auto"/>
        <w:jc w:val="both"/>
        <w:rPr>
          <w:rFonts w:ascii="Times New Roman" w:hAnsi="Times New Roman"/>
        </w:rPr>
      </w:pPr>
      <w:bookmarkStart w:id="20" w:name="_c7oaq0ctb8zs"/>
      <w:bookmarkEnd w:id="20"/>
      <w:r>
        <w:rPr>
          <w:rFonts w:ascii="Times New Roman" w:hAnsi="Times New Roman"/>
          <w:b/>
        </w:rPr>
        <w:t>Qualidade</w:t>
      </w:r>
      <w:r>
        <w:rPr>
          <w:rFonts w:ascii="Times New Roman" w:hAnsi="Times New Roman"/>
        </w:rPr>
        <w:t>, pautada na entrega de valor público, oferecendo respostas efetivas às necessidades da comunidade acadêmica e sociedade em geral.</w:t>
      </w:r>
    </w:p>
    <w:p w:rsidR="005B7AB7" w:rsidRDefault="00000000">
      <w:pPr>
        <w:pStyle w:val="Standard"/>
        <w:widowControl/>
        <w:numPr>
          <w:ilvl w:val="0"/>
          <w:numId w:val="6"/>
        </w:numPr>
        <w:spacing w:line="360" w:lineRule="auto"/>
        <w:jc w:val="both"/>
        <w:rPr>
          <w:rFonts w:ascii="Times New Roman" w:hAnsi="Times New Roman"/>
        </w:rPr>
      </w:pPr>
      <w:bookmarkStart w:id="21" w:name="_mlbnoyq4qiai"/>
      <w:bookmarkEnd w:id="21"/>
      <w:r>
        <w:rPr>
          <w:rFonts w:ascii="Times New Roman" w:hAnsi="Times New Roman"/>
          <w:b/>
        </w:rPr>
        <w:t>Respeito</w:t>
      </w:r>
      <w:r>
        <w:rPr>
          <w:rFonts w:ascii="Times New Roman" w:hAnsi="Times New Roman"/>
        </w:rPr>
        <w:t xml:space="preserve"> à ciência e às relações humanas, pautados pela importância do diálogo com vistas à construção de respostas para as demandas da sociedade.</w:t>
      </w:r>
    </w:p>
    <w:p w:rsidR="005B7AB7" w:rsidRDefault="00000000">
      <w:pPr>
        <w:pStyle w:val="Standard"/>
        <w:widowControl/>
        <w:numPr>
          <w:ilvl w:val="0"/>
          <w:numId w:val="6"/>
        </w:numPr>
        <w:spacing w:after="57" w:line="360" w:lineRule="auto"/>
        <w:jc w:val="both"/>
        <w:rPr>
          <w:rFonts w:ascii="Times New Roman" w:hAnsi="Times New Roman"/>
        </w:rPr>
      </w:pPr>
      <w:bookmarkStart w:id="22" w:name="_akzkieebxps8"/>
      <w:bookmarkEnd w:id="22"/>
      <w:r>
        <w:rPr>
          <w:rFonts w:ascii="Times New Roman" w:hAnsi="Times New Roman"/>
          <w:b/>
        </w:rPr>
        <w:t>Sustentabilidade</w:t>
      </w:r>
      <w:r>
        <w:rPr>
          <w:rFonts w:ascii="Times New Roman" w:hAnsi="Times New Roman"/>
        </w:rPr>
        <w:t>, pautada pelo estímulo à integração das dimensões ambiental, social, econômica e cultural.</w:t>
      </w:r>
    </w:p>
    <w:p w:rsidR="005B7AB7" w:rsidRDefault="005B7AB7">
      <w:pPr>
        <w:pStyle w:val="Standard"/>
        <w:widowControl/>
        <w:spacing w:after="57" w:line="360" w:lineRule="auto"/>
        <w:jc w:val="both"/>
        <w:rPr>
          <w:rFonts w:ascii="Times New Roman" w:eastAsia="Times New Roman" w:hAnsi="Times New Roman" w:cs="Times New Roman"/>
          <w:color w:val="000000"/>
        </w:rPr>
      </w:pPr>
    </w:p>
    <w:p w:rsidR="005B7AB7" w:rsidRDefault="00000000">
      <w:pPr>
        <w:pStyle w:val="Ttulo2"/>
        <w:numPr>
          <w:ilvl w:val="1"/>
          <w:numId w:val="1"/>
        </w:numPr>
      </w:pPr>
      <w:bookmarkStart w:id="23" w:name="_4d34og8"/>
      <w:bookmarkEnd w:id="23"/>
      <w:r>
        <w:t>CADEIA DE VALOR</w:t>
      </w:r>
    </w:p>
    <w:p w:rsidR="005B7AB7" w:rsidRDefault="00000000">
      <w:pPr>
        <w:pStyle w:val="Standard"/>
        <w:widowControl/>
        <w:spacing w:after="57" w:line="360" w:lineRule="auto"/>
        <w:ind w:firstLine="709"/>
        <w:jc w:val="both"/>
        <w:rPr>
          <w:rFonts w:ascii="Times New Roman" w:eastAsia="Times New Roman" w:hAnsi="Times New Roman" w:cs="Times New Roman"/>
        </w:rPr>
      </w:pPr>
      <w:r>
        <w:rPr>
          <w:rFonts w:ascii="Times New Roman" w:eastAsia="Times New Roman" w:hAnsi="Times New Roman" w:cs="Times New Roman"/>
        </w:rPr>
        <w:tab/>
        <w:t xml:space="preserve">A Cadeia de Valor do IFSC, instituída por meio da Portaria do Reitor nº 08/2018, apresenta os macroprocessos pelos quais a instituição cumpre a sua Missão, gerando valor para os </w:t>
      </w:r>
      <w:r w:rsidR="00D83CB7">
        <w:rPr>
          <w:rFonts w:ascii="Times New Roman" w:eastAsia="Times New Roman" w:hAnsi="Times New Roman" w:cs="Times New Roman"/>
        </w:rPr>
        <w:t>alunos, alunas</w:t>
      </w:r>
      <w:r>
        <w:rPr>
          <w:rFonts w:ascii="Times New Roman" w:eastAsia="Times New Roman" w:hAnsi="Times New Roman" w:cs="Times New Roman"/>
        </w:rPr>
        <w:t xml:space="preserve"> e para a sociedade, conforme apresentado na Figura 1.2.</w:t>
      </w:r>
    </w:p>
    <w:p w:rsidR="005B7AB7" w:rsidRDefault="00000000">
      <w:pPr>
        <w:pStyle w:val="Standard"/>
        <w:widowControl/>
        <w:spacing w:after="57" w:line="360" w:lineRule="auto"/>
        <w:ind w:firstLine="709"/>
        <w:jc w:val="both"/>
        <w:rPr>
          <w:rFonts w:ascii="Times New Roman" w:eastAsia="Times New Roman" w:hAnsi="Times New Roman" w:cs="Times New Roman"/>
        </w:rPr>
      </w:pPr>
      <w:r>
        <w:rPr>
          <w:rFonts w:ascii="Times New Roman" w:eastAsia="Times New Roman" w:hAnsi="Times New Roman" w:cs="Times New Roman"/>
        </w:rPr>
        <w:tab/>
        <w:t>Os macroprocessos são os conjuntos de processos do mais alto nível, organizados e classificados de forma a proporcionar uma visão geral, lógica e sistêmica da instituição. Eles mantêm uma interdependência e complementaridade entre si, contribuindo de forma sinérgica para o alcance dos objetivos institucionais, garantindo o cumprimento da missão.</w:t>
      </w:r>
    </w:p>
    <w:p w:rsidR="005B7AB7" w:rsidRDefault="00000000">
      <w:pPr>
        <w:pStyle w:val="Standard"/>
        <w:widowControl/>
        <w:tabs>
          <w:tab w:val="left" w:pos="850"/>
        </w:tabs>
        <w:spacing w:line="360" w:lineRule="auto"/>
        <w:jc w:val="both"/>
        <w:rPr>
          <w:rFonts w:ascii="Times New Roman" w:eastAsia="Times New Roman" w:hAnsi="Times New Roman" w:cs="Times New Roman"/>
        </w:rPr>
      </w:pPr>
      <w:r>
        <w:rPr>
          <w:rFonts w:ascii="Times New Roman" w:eastAsia="Times New Roman" w:hAnsi="Times New Roman" w:cs="Times New Roman"/>
        </w:rPr>
        <w:tab/>
        <w:t>Os macroprocessos se classificam em três tipos:</w:t>
      </w:r>
    </w:p>
    <w:p w:rsidR="005B7AB7" w:rsidRDefault="00000000">
      <w:pPr>
        <w:pStyle w:val="Standard"/>
        <w:widowControl/>
        <w:numPr>
          <w:ilvl w:val="0"/>
          <w:numId w:val="12"/>
        </w:numPr>
        <w:spacing w:line="360" w:lineRule="auto"/>
        <w:jc w:val="both"/>
      </w:pPr>
      <w:r>
        <w:rPr>
          <w:rFonts w:ascii="Times New Roman" w:eastAsia="Times New Roman" w:hAnsi="Times New Roman" w:cs="Times New Roman"/>
          <w:b/>
          <w:sz w:val="22"/>
          <w:szCs w:val="22"/>
        </w:rPr>
        <w:lastRenderedPageBreak/>
        <w:t>Finalísticos</w:t>
      </w:r>
      <w:r>
        <w:rPr>
          <w:rFonts w:ascii="Times New Roman" w:eastAsia="Times New Roman" w:hAnsi="Times New Roman" w:cs="Times New Roman"/>
          <w:sz w:val="22"/>
          <w:szCs w:val="22"/>
        </w:rPr>
        <w:t>: são as atividades essenciais que a instituição executa para cumprir a sua missão. Recebe apoio de outros processos internos, gerando um produto ou serviço para o cliente interno ou para o aluno, aluna e à sociedade. Está diretamente relacionado ao objetivo do IFSC.</w:t>
      </w:r>
    </w:p>
    <w:p w:rsidR="005B7AB7" w:rsidRDefault="00000000">
      <w:pPr>
        <w:pStyle w:val="Standard"/>
        <w:widowControl/>
        <w:numPr>
          <w:ilvl w:val="0"/>
          <w:numId w:val="4"/>
        </w:numPr>
        <w:spacing w:line="360" w:lineRule="auto"/>
        <w:jc w:val="both"/>
      </w:pPr>
      <w:r>
        <w:rPr>
          <w:rFonts w:ascii="Times New Roman" w:eastAsia="Times New Roman" w:hAnsi="Times New Roman" w:cs="Times New Roman"/>
          <w:b/>
          <w:sz w:val="22"/>
          <w:szCs w:val="22"/>
        </w:rPr>
        <w:t>De Suporte:</w:t>
      </w:r>
      <w:r>
        <w:rPr>
          <w:rFonts w:ascii="Times New Roman" w:eastAsia="Times New Roman" w:hAnsi="Times New Roman" w:cs="Times New Roman"/>
          <w:sz w:val="22"/>
          <w:szCs w:val="22"/>
        </w:rPr>
        <w:t xml:space="preserve"> existem para entregar valor aos processos finalísticos ou aos processos gerenciais. Apesar de não gerarem valor diretamente aos alunos e à sociedade, são fundamentais, pois estão diretamente relacionados à gestão dos recursos necessários ao desenvolvimento de todos os processos da instituição.</w:t>
      </w:r>
    </w:p>
    <w:p w:rsidR="005B7AB7" w:rsidRDefault="00000000">
      <w:pPr>
        <w:pStyle w:val="Standard"/>
        <w:widowControl/>
        <w:numPr>
          <w:ilvl w:val="0"/>
          <w:numId w:val="4"/>
        </w:numPr>
        <w:spacing w:line="360" w:lineRule="auto"/>
        <w:jc w:val="both"/>
        <w:rPr>
          <w:rFonts w:ascii="Times New Roman" w:hAnsi="Times New Roman"/>
        </w:rPr>
      </w:pPr>
      <w:r>
        <w:rPr>
          <w:rFonts w:ascii="Times New Roman" w:eastAsia="Times New Roman" w:hAnsi="Times New Roman" w:cs="Times New Roman"/>
          <w:b/>
          <w:sz w:val="22"/>
          <w:szCs w:val="22"/>
        </w:rPr>
        <w:t>Gerenciais</w:t>
      </w:r>
      <w:r>
        <w:rPr>
          <w:rFonts w:ascii="Times New Roman" w:eastAsia="Times New Roman" w:hAnsi="Times New Roman" w:cs="Times New Roman"/>
          <w:sz w:val="22"/>
          <w:szCs w:val="22"/>
        </w:rPr>
        <w:t xml:space="preserve">: ligados à estratégia da instituição. Estão diretamente relacionados à formulação de políticas e diretrizes para se estabelecer e concretizar metas. Também se referem ao estabelecimento de indicadores de desempenho e às formas de avaliação dos resultados alcançados interna e externamente à organização. São necessários para assegurar que a instituição opere de acordo com seus objetivos e metas de </w:t>
      </w:r>
      <w:r>
        <w:rPr>
          <w:rFonts w:ascii="Times New Roman" w:hAnsi="Times New Roman"/>
          <w:sz w:val="22"/>
          <w:szCs w:val="22"/>
        </w:rPr>
        <w:t>desempenho.</w:t>
      </w:r>
    </w:p>
    <w:p w:rsidR="005B7AB7" w:rsidRDefault="00000000">
      <w:pPr>
        <w:pStyle w:val="Standard"/>
        <w:widowControl/>
        <w:spacing w:after="57" w:line="360" w:lineRule="auto"/>
      </w:pPr>
      <w:r>
        <w:rPr>
          <w:noProof/>
        </w:rPr>
        <w:drawing>
          <wp:inline distT="0" distB="0" distL="0" distR="0">
            <wp:extent cx="5993280" cy="4492800"/>
            <wp:effectExtent l="0" t="0" r="7470" b="3000"/>
            <wp:docPr id="3"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993280" cy="4492800"/>
                    </a:xfrm>
                    <a:prstGeom prst="rect">
                      <a:avLst/>
                    </a:prstGeom>
                    <a:noFill/>
                    <a:ln>
                      <a:noFill/>
                      <a:prstDash/>
                    </a:ln>
                  </pic:spPr>
                </pic:pic>
              </a:graphicData>
            </a:graphic>
          </wp:inline>
        </w:drawing>
      </w:r>
    </w:p>
    <w:p w:rsidR="005B7AB7" w:rsidRDefault="00000000">
      <w:pPr>
        <w:pStyle w:val="Standard"/>
        <w:widowControl/>
        <w:spacing w:after="57" w:line="36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Figura 1.2 - Cadeia de Valor do IFSC.</w:t>
      </w:r>
    </w:p>
    <w:p w:rsidR="005B7AB7" w:rsidRDefault="00000000">
      <w:pPr>
        <w:pStyle w:val="Standard"/>
        <w:widowControl/>
        <w:spacing w:after="57" w:line="360" w:lineRule="auto"/>
        <w:ind w:firstLine="709"/>
        <w:jc w:val="both"/>
        <w:rPr>
          <w:rFonts w:ascii="Times New Roman" w:eastAsia="Times New Roman" w:hAnsi="Times New Roman" w:cs="Times New Roman"/>
          <w:shd w:val="clear" w:color="auto" w:fill="FFFFFF"/>
        </w:rPr>
      </w:pPr>
      <w:r>
        <w:rPr>
          <w:rFonts w:ascii="Times New Roman" w:eastAsia="Times New Roman" w:hAnsi="Times New Roman" w:cs="Times New Roman"/>
        </w:rPr>
        <w:t xml:space="preserve">Executando esses processos, o IFSC se propõe a entregar aos alunos e às alunas formação e qualificação profissional, científica e tecnológica, por meio do ensino, pesquisa e extensão, com </w:t>
      </w:r>
      <w:r>
        <w:rPr>
          <w:rFonts w:ascii="Times New Roman" w:eastAsia="Times New Roman" w:hAnsi="Times New Roman" w:cs="Times New Roman"/>
        </w:rPr>
        <w:lastRenderedPageBreak/>
        <w:t>estreita articulação entre os setores produtivos e a sociedade, direcionadas para a realidade local e regional, assim como se propõe a entregar para a sociedade cidadãos e cidadãs capazes de difundir e aplicar conhecimento e inovação, para o desenvolvimento socioeconômico e cultural da sociedade.</w:t>
      </w:r>
      <w:r>
        <w:rPr>
          <w:rFonts w:ascii="Times New Roman" w:eastAsia="Times New Roman" w:hAnsi="Times New Roman" w:cs="Times New Roman"/>
        </w:rPr>
        <w:tab/>
      </w:r>
      <w:r>
        <w:rPr>
          <w:rFonts w:ascii="Times New Roman" w:eastAsia="Times New Roman" w:hAnsi="Times New Roman" w:cs="Times New Roman"/>
          <w:shd w:val="clear" w:color="auto" w:fill="FFFFFF"/>
        </w:rPr>
        <w:t>A cadeia de valor é um instrumento básico da gestão por processos, que auxilia na tomada de decisão em alto nível. Para se realizar análises ou inferir como os processos são feitos, deve-se verificar os níveis mais baixos da arquitetura de processos (processos de negócio e processos de trabalho), disponíveis no repositório de processos do IFSC.</w:t>
      </w:r>
    </w:p>
    <w:p w:rsidR="005B7AB7" w:rsidRDefault="00000000">
      <w:pPr>
        <w:pStyle w:val="Standard"/>
        <w:widowControl/>
        <w:spacing w:after="57" w:line="360" w:lineRule="auto"/>
        <w:ind w:firstLine="709"/>
        <w:jc w:val="both"/>
      </w:pPr>
      <w:r>
        <w:rPr>
          <w:rFonts w:ascii="Times New Roman" w:eastAsia="Times New Roman" w:hAnsi="Times New Roman" w:cs="Times New Roman"/>
          <w:shd w:val="clear" w:color="auto" w:fill="FFFFFF"/>
        </w:rPr>
        <w:tab/>
        <w:t xml:space="preserve">A linguagem de mapeamento padrão do IFSC possui quatro níveis de detalhamento. Cada nível possui seu conjunto específico de dimensões mapeadas, um público-alvo e um propósito. Os níveis estão ligados entre si por uma relação de desdobramento, ou seja, níveis mais detalhados são oriundos de níveis menos detalhados e níveis menos detalhados são agregações de níveis mais detalhados. </w:t>
      </w:r>
      <w:r>
        <w:rPr>
          <w:rFonts w:ascii="Times New Roman" w:eastAsia="Times New Roman" w:hAnsi="Times New Roman" w:cs="Times New Roman"/>
        </w:rPr>
        <w:t>Os níveis são os que seguem, conforme Figura 1.3, do mais agregado para o mais detalhado.</w:t>
      </w:r>
    </w:p>
    <w:p w:rsidR="005B7AB7" w:rsidRDefault="00706CFA">
      <w:pPr>
        <w:pStyle w:val="Standard"/>
        <w:widowControl/>
        <w:spacing w:after="57" w:line="360" w:lineRule="auto"/>
        <w:jc w:val="both"/>
        <w:rPr>
          <w:rFonts w:ascii="Times New Roman" w:eastAsia="Times New Roman" w:hAnsi="Times New Roman" w:cs="Times New Roman"/>
        </w:rPr>
      </w:pPr>
      <w:r>
        <w:rPr>
          <w:noProof/>
        </w:rPr>
        <w:drawing>
          <wp:anchor distT="0" distB="0" distL="114300" distR="114300" simplePos="0" relativeHeight="251659264" behindDoc="0" locked="0" layoutInCell="1" allowOverlap="1" wp14:anchorId="1CE4A948" wp14:editId="0B3EE422">
            <wp:simplePos x="0" y="0"/>
            <wp:positionH relativeFrom="column">
              <wp:posOffset>0</wp:posOffset>
            </wp:positionH>
            <wp:positionV relativeFrom="paragraph">
              <wp:posOffset>294640</wp:posOffset>
            </wp:positionV>
            <wp:extent cx="3916800" cy="3561840"/>
            <wp:effectExtent l="0" t="0" r="7500" b="510"/>
            <wp:wrapTopAndBottom/>
            <wp:docPr id="4" name="image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916800" cy="3561840"/>
                    </a:xfrm>
                    <a:prstGeom prst="rect">
                      <a:avLst/>
                    </a:prstGeom>
                    <a:noFill/>
                    <a:ln>
                      <a:noFill/>
                      <a:prstDash/>
                    </a:ln>
                  </pic:spPr>
                </pic:pic>
              </a:graphicData>
            </a:graphic>
          </wp:anchor>
        </w:drawing>
      </w:r>
    </w:p>
    <w:p w:rsidR="005B7AB7" w:rsidRDefault="00000000">
      <w:pPr>
        <w:pStyle w:val="Standard"/>
        <w:widowControl/>
        <w:spacing w:after="57" w:line="360" w:lineRule="auto"/>
        <w:jc w:val="both"/>
      </w:pPr>
      <w:r>
        <w:rPr>
          <w:rFonts w:ascii="Times New Roman" w:eastAsia="Times New Roman" w:hAnsi="Times New Roman" w:cs="Times New Roman"/>
        </w:rPr>
        <w:t>Figura 1.3. Relação entre os níveis de detalhamento do mapeamento.</w:t>
      </w:r>
    </w:p>
    <w:p w:rsidR="005B7AB7" w:rsidRDefault="005B7AB7">
      <w:pPr>
        <w:pStyle w:val="Standard"/>
        <w:widowControl/>
        <w:spacing w:after="57" w:line="360" w:lineRule="auto"/>
        <w:jc w:val="both"/>
        <w:rPr>
          <w:rFonts w:ascii="Times New Roman" w:eastAsia="Times New Roman" w:hAnsi="Times New Roman" w:cs="Times New Roman"/>
        </w:rPr>
      </w:pPr>
    </w:p>
    <w:p w:rsidR="005B7AB7" w:rsidRDefault="00000000">
      <w:pPr>
        <w:pStyle w:val="Standard"/>
        <w:widowControl/>
        <w:spacing w:after="57" w:line="360" w:lineRule="auto"/>
        <w:ind w:firstLine="720"/>
        <w:jc w:val="both"/>
      </w:pPr>
      <w:r>
        <w:rPr>
          <w:rFonts w:ascii="Times New Roman" w:hAnsi="Times New Roman"/>
        </w:rPr>
        <w:lastRenderedPageBreak/>
        <w:t xml:space="preserve">O repositório de processos do IFSC pode ser consultado no Portal do Servidor, menu </w:t>
      </w:r>
      <w:hyperlink r:id="rId19" w:history="1">
        <w:r>
          <w:rPr>
            <w:rFonts w:ascii="Times New Roman" w:hAnsi="Times New Roman"/>
            <w:color w:val="1155CC"/>
            <w:u w:val="single"/>
          </w:rPr>
          <w:t>Processos Mapeados</w:t>
        </w:r>
      </w:hyperlink>
      <w:r>
        <w:rPr>
          <w:rFonts w:ascii="Times New Roman" w:hAnsi="Times New Roman"/>
        </w:rPr>
        <w:t>.</w:t>
      </w:r>
    </w:p>
    <w:p w:rsidR="005B7AB7" w:rsidRDefault="005B7AB7">
      <w:pPr>
        <w:pStyle w:val="Standard"/>
        <w:widowControl/>
        <w:spacing w:after="57" w:line="360" w:lineRule="auto"/>
        <w:ind w:firstLine="720"/>
        <w:jc w:val="both"/>
        <w:rPr>
          <w:rFonts w:ascii="Times New Roman" w:hAnsi="Times New Roman"/>
        </w:rPr>
      </w:pPr>
    </w:p>
    <w:p w:rsidR="005B7AB7" w:rsidRDefault="00000000">
      <w:pPr>
        <w:pStyle w:val="Ttulo2"/>
        <w:numPr>
          <w:ilvl w:val="1"/>
          <w:numId w:val="1"/>
        </w:numPr>
      </w:pPr>
      <w:bookmarkStart w:id="24" w:name="_2s8eyo1"/>
      <w:bookmarkEnd w:id="24"/>
      <w:r>
        <w:t>ÁREAS DE ATUAÇÃO ACADÊMICA</w:t>
      </w:r>
    </w:p>
    <w:p w:rsidR="005B7AB7" w:rsidRDefault="00000000">
      <w:pPr>
        <w:pStyle w:val="Standard"/>
        <w:widowControl/>
        <w:spacing w:after="57" w:line="360" w:lineRule="auto"/>
        <w:ind w:firstLine="709"/>
        <w:jc w:val="both"/>
        <w:rPr>
          <w:rFonts w:ascii="Times New Roman" w:hAnsi="Times New Roman"/>
        </w:rPr>
      </w:pPr>
      <w:r>
        <w:rPr>
          <w:rFonts w:ascii="Times New Roman" w:hAnsi="Times New Roman"/>
        </w:rPr>
        <w:t xml:space="preserve">A educação profissional e tecnológica ofertada pelo IFSC articula-se com o mundo do trabalho e com a vida em sociedade, tendo como horizonte a formação </w:t>
      </w:r>
      <w:proofErr w:type="spellStart"/>
      <w:r>
        <w:rPr>
          <w:rFonts w:ascii="Times New Roman" w:hAnsi="Times New Roman"/>
        </w:rPr>
        <w:t>omnilateral</w:t>
      </w:r>
      <w:proofErr w:type="spellEnd"/>
      <w:r>
        <w:rPr>
          <w:rFonts w:ascii="Times New Roman" w:hAnsi="Times New Roman"/>
        </w:rPr>
        <w:t xml:space="preserve"> dos sujeitos. Para isso, é essencial garantir uma oferta diversificada de cursos — de qualificação, habilitação técnica, tecnológica e pós-graduação — que promova o aproveitamento contínuo e articulado dos estudos. Alinhada aos princípios da indissociabilidade entre ensino, pesquisa e extensão, essa formação visa não apenas ao desenvolvimento de competências profissionais, mas também à constituição de cidadãos críticos, participativos e corresponsáveis nos processos de transformação social, conforme estabelecido no Projeto Pedagógico Institucional.</w:t>
      </w:r>
    </w:p>
    <w:p w:rsidR="005B7AB7" w:rsidRDefault="00000000">
      <w:pPr>
        <w:pStyle w:val="Standard"/>
        <w:widowControl/>
        <w:spacing w:after="57" w:line="360" w:lineRule="auto"/>
        <w:ind w:firstLine="709"/>
        <w:jc w:val="both"/>
        <w:rPr>
          <w:rFonts w:ascii="Times New Roman" w:hAnsi="Times New Roman"/>
        </w:rPr>
      </w:pPr>
      <w:r>
        <w:rPr>
          <w:rFonts w:ascii="Times New Roman" w:eastAsia="Times New Roman" w:hAnsi="Times New Roman" w:cs="Times New Roman"/>
          <w:color w:val="000000"/>
        </w:rPr>
        <w:t>A oferta educativa do IFSC é organizada em itinerários formativos verticalizados desde os cursos de formação inicial e continuada (FIC</w:t>
      </w:r>
      <w:r>
        <w:rPr>
          <w:rFonts w:ascii="Times New Roman" w:eastAsia="Times New Roman" w:hAnsi="Times New Roman" w:cs="Times New Roman"/>
        </w:rPr>
        <w:t xml:space="preserve">) – mais conhecidos internamente como </w:t>
      </w:r>
      <w:r>
        <w:rPr>
          <w:rFonts w:ascii="Times New Roman" w:hAnsi="Times New Roman"/>
        </w:rPr>
        <w:t>cursos de qualificação profissional de curta duração</w:t>
      </w:r>
      <w:r>
        <w:rPr>
          <w:rFonts w:ascii="Times New Roman" w:eastAsia="Times New Roman" w:hAnsi="Times New Roman" w:cs="Times New Roman"/>
        </w:rPr>
        <w:t xml:space="preserve"> – até os </w:t>
      </w:r>
      <w:r>
        <w:rPr>
          <w:rFonts w:ascii="Times New Roman" w:eastAsia="Times New Roman" w:hAnsi="Times New Roman" w:cs="Times New Roman"/>
          <w:color w:val="000000"/>
        </w:rPr>
        <w:t xml:space="preserve">cursos de pós-graduação, passando pelos cursos técnicos de nível médio, que representam a maioria das matrículas e para os quais devem ser reservadas no mínimo 50% do total de vagas, conforme a </w:t>
      </w:r>
      <w:r>
        <w:rPr>
          <w:rFonts w:ascii="Times New Roman" w:hAnsi="Times New Roman"/>
        </w:rPr>
        <w:t>lei de</w:t>
      </w:r>
      <w:r>
        <w:rPr>
          <w:rFonts w:ascii="Times New Roman" w:eastAsia="Times New Roman" w:hAnsi="Times New Roman" w:cs="Times New Roman"/>
          <w:color w:val="000000"/>
        </w:rPr>
        <w:t xml:space="preserve"> criação dos </w:t>
      </w:r>
      <w:r>
        <w:rPr>
          <w:rFonts w:ascii="Times New Roman" w:hAnsi="Times New Roman"/>
        </w:rPr>
        <w:t>Institutos</w:t>
      </w:r>
      <w:r>
        <w:rPr>
          <w:rFonts w:ascii="Times New Roman" w:eastAsia="Times New Roman" w:hAnsi="Times New Roman" w:cs="Times New Roman"/>
          <w:color w:val="000000"/>
        </w:rPr>
        <w:t xml:space="preserve"> Federais, n° </w:t>
      </w:r>
      <w:r>
        <w:rPr>
          <w:rFonts w:ascii="Times New Roman" w:hAnsi="Times New Roman"/>
        </w:rPr>
        <w:t>11.892/2008</w:t>
      </w:r>
      <w:r>
        <w:rPr>
          <w:rFonts w:ascii="Times New Roman" w:eastAsia="Times New Roman" w:hAnsi="Times New Roman" w:cs="Times New Roman"/>
          <w:color w:val="000000"/>
        </w:rPr>
        <w:t>.</w:t>
      </w:r>
    </w:p>
    <w:p w:rsidR="005B7AB7" w:rsidRDefault="00000000">
      <w:pPr>
        <w:pStyle w:val="Standard"/>
        <w:widowControl/>
        <w:spacing w:after="57" w:line="360" w:lineRule="auto"/>
        <w:ind w:firstLine="709"/>
        <w:jc w:val="both"/>
        <w:rPr>
          <w:rFonts w:ascii="Times New Roman" w:hAnsi="Times New Roman"/>
        </w:rPr>
      </w:pPr>
      <w:r>
        <w:rPr>
          <w:rFonts w:ascii="Times New Roman" w:eastAsia="Times New Roman" w:hAnsi="Times New Roman" w:cs="Times New Roman"/>
          <w:color w:val="000000"/>
          <w:shd w:val="clear" w:color="auto" w:fill="FFFFFF"/>
        </w:rPr>
        <w:t>Os cursos técn</w:t>
      </w:r>
      <w:r>
        <w:rPr>
          <w:rFonts w:ascii="Times New Roman" w:eastAsia="Times New Roman" w:hAnsi="Times New Roman" w:cs="Times New Roman"/>
          <w:color w:val="000000"/>
        </w:rPr>
        <w:t>icos são oferecidos de três formas:</w:t>
      </w:r>
    </w:p>
    <w:p w:rsidR="005B7AB7" w:rsidRDefault="00000000">
      <w:pPr>
        <w:pStyle w:val="Standard"/>
        <w:widowControl/>
        <w:spacing w:after="57" w:line="360" w:lineRule="auto"/>
        <w:ind w:firstLine="709"/>
        <w:jc w:val="both"/>
        <w:rPr>
          <w:rFonts w:ascii="Times New Roman" w:hAnsi="Times New Roman"/>
        </w:rPr>
      </w:pPr>
      <w:r>
        <w:rPr>
          <w:rFonts w:ascii="Times New Roman" w:hAnsi="Times New Roman"/>
        </w:rPr>
        <w:t xml:space="preserve">I - </w:t>
      </w:r>
      <w:proofErr w:type="gramStart"/>
      <w:r>
        <w:rPr>
          <w:rFonts w:ascii="Times New Roman" w:eastAsia="Times New Roman" w:hAnsi="Times New Roman" w:cs="Times New Roman"/>
          <w:color w:val="000000"/>
        </w:rPr>
        <w:t>integrados</w:t>
      </w:r>
      <w:proofErr w:type="gramEnd"/>
      <w:r>
        <w:rPr>
          <w:rFonts w:ascii="Times New Roman" w:eastAsia="Times New Roman" w:hAnsi="Times New Roman" w:cs="Times New Roman"/>
          <w:color w:val="000000"/>
        </w:rPr>
        <w:t xml:space="preserve">, </w:t>
      </w:r>
      <w:r>
        <w:rPr>
          <w:rFonts w:ascii="Times New Roman" w:hAnsi="Times New Roman"/>
        </w:rPr>
        <w:t>para estudantes que cursam o Ensino Médio e a formação técnica simultaneamente no IFSC;</w:t>
      </w:r>
    </w:p>
    <w:p w:rsidR="005B7AB7" w:rsidRDefault="00000000">
      <w:pPr>
        <w:pStyle w:val="Standard"/>
        <w:widowControl/>
        <w:spacing w:after="57" w:line="360" w:lineRule="auto"/>
        <w:ind w:firstLine="709"/>
        <w:jc w:val="both"/>
        <w:rPr>
          <w:rFonts w:ascii="Times New Roman" w:hAnsi="Times New Roman"/>
        </w:rPr>
      </w:pPr>
      <w:r>
        <w:rPr>
          <w:rFonts w:ascii="Times New Roman" w:hAnsi="Times New Roman"/>
        </w:rPr>
        <w:t xml:space="preserve">II - </w:t>
      </w:r>
      <w:r>
        <w:rPr>
          <w:rFonts w:ascii="Times New Roman" w:eastAsia="Times New Roman" w:hAnsi="Times New Roman" w:cs="Times New Roman"/>
          <w:color w:val="000000"/>
        </w:rPr>
        <w:t>concomitantes: para estudantes q</w:t>
      </w:r>
      <w:r>
        <w:rPr>
          <w:rFonts w:ascii="Times New Roman" w:hAnsi="Times New Roman"/>
        </w:rPr>
        <w:t xml:space="preserve">ue cursam o Ensino Médio em outra instituição e realizam formação técnica </w:t>
      </w:r>
      <w:proofErr w:type="gramStart"/>
      <w:r>
        <w:rPr>
          <w:rFonts w:ascii="Times New Roman" w:hAnsi="Times New Roman"/>
        </w:rPr>
        <w:t xml:space="preserve">no </w:t>
      </w:r>
      <w:r>
        <w:rPr>
          <w:rFonts w:ascii="Times New Roman" w:eastAsia="Times New Roman" w:hAnsi="Times New Roman" w:cs="Times New Roman"/>
          <w:color w:val="000000"/>
        </w:rPr>
        <w:t xml:space="preserve"> IFSC</w:t>
      </w:r>
      <w:proofErr w:type="gramEnd"/>
      <w:r>
        <w:rPr>
          <w:rFonts w:ascii="Times New Roman" w:eastAsia="Times New Roman" w:hAnsi="Times New Roman" w:cs="Times New Roman"/>
          <w:color w:val="000000"/>
        </w:rPr>
        <w:t>;</w:t>
      </w:r>
    </w:p>
    <w:p w:rsidR="005B7AB7" w:rsidRDefault="00000000">
      <w:pPr>
        <w:pStyle w:val="Standard"/>
        <w:widowControl/>
        <w:spacing w:after="57" w:line="360" w:lineRule="auto"/>
        <w:ind w:firstLine="709"/>
        <w:jc w:val="both"/>
        <w:rPr>
          <w:rFonts w:ascii="Times New Roman" w:hAnsi="Times New Roman"/>
        </w:rPr>
      </w:pPr>
      <w:r>
        <w:rPr>
          <w:rFonts w:ascii="Times New Roman" w:hAnsi="Times New Roman"/>
        </w:rPr>
        <w:t xml:space="preserve">III - </w:t>
      </w:r>
      <w:r>
        <w:rPr>
          <w:rFonts w:ascii="Times New Roman" w:eastAsia="Times New Roman" w:hAnsi="Times New Roman" w:cs="Times New Roman"/>
          <w:color w:val="000000"/>
        </w:rPr>
        <w:t xml:space="preserve">subsequentes: destinados </w:t>
      </w:r>
      <w:r>
        <w:rPr>
          <w:rFonts w:ascii="Times New Roman" w:hAnsi="Times New Roman"/>
        </w:rPr>
        <w:t xml:space="preserve">a </w:t>
      </w:r>
      <w:r>
        <w:rPr>
          <w:rFonts w:ascii="Times New Roman" w:eastAsia="Times New Roman" w:hAnsi="Times New Roman" w:cs="Times New Roman"/>
          <w:color w:val="000000"/>
        </w:rPr>
        <w:t xml:space="preserve">quem já </w:t>
      </w:r>
      <w:r>
        <w:rPr>
          <w:rFonts w:ascii="Times New Roman" w:hAnsi="Times New Roman"/>
        </w:rPr>
        <w:t xml:space="preserve">concluiu </w:t>
      </w:r>
      <w:r>
        <w:rPr>
          <w:rFonts w:ascii="Times New Roman" w:eastAsia="Times New Roman" w:hAnsi="Times New Roman" w:cs="Times New Roman"/>
          <w:color w:val="000000"/>
        </w:rPr>
        <w:t xml:space="preserve">o Ensino Médio e busca uma </w:t>
      </w:r>
      <w:r>
        <w:rPr>
          <w:rFonts w:ascii="Times New Roman" w:hAnsi="Times New Roman"/>
        </w:rPr>
        <w:t>formação técnica no IFSC.</w:t>
      </w:r>
    </w:p>
    <w:p w:rsidR="005B7AB7" w:rsidRDefault="00000000">
      <w:pPr>
        <w:pStyle w:val="Standard"/>
        <w:widowControl/>
        <w:spacing w:after="57" w:line="360" w:lineRule="auto"/>
        <w:ind w:firstLine="709"/>
        <w:jc w:val="both"/>
        <w:rPr>
          <w:rFonts w:ascii="Times New Roman" w:hAnsi="Times New Roman"/>
        </w:rPr>
      </w:pPr>
      <w:r>
        <w:rPr>
          <w:rFonts w:ascii="Times New Roman" w:hAnsi="Times New Roman"/>
        </w:rPr>
        <w:t xml:space="preserve">O IFSC oferece diferentes modalidades de </w:t>
      </w:r>
      <w:proofErr w:type="gramStart"/>
      <w:r>
        <w:rPr>
          <w:rFonts w:ascii="Times New Roman" w:hAnsi="Times New Roman"/>
        </w:rPr>
        <w:t>cursos Proeja</w:t>
      </w:r>
      <w:proofErr w:type="gramEnd"/>
      <w:r>
        <w:rPr>
          <w:rFonts w:ascii="Times New Roman" w:hAnsi="Times New Roman"/>
        </w:rPr>
        <w:t xml:space="preserve"> (Programa Nacional de Integração da Educação Profissional com a Educação Básica na Modalidade de Educação de Jovens e Adultos), que integram a formação escolar com qualificação profissional. Essas modalidades incluem:</w:t>
      </w:r>
    </w:p>
    <w:p w:rsidR="005B7AB7" w:rsidRDefault="00000000">
      <w:pPr>
        <w:pStyle w:val="Standard"/>
        <w:widowControl/>
        <w:numPr>
          <w:ilvl w:val="0"/>
          <w:numId w:val="13"/>
        </w:numPr>
        <w:spacing w:before="240" w:line="360" w:lineRule="auto"/>
        <w:jc w:val="both"/>
        <w:rPr>
          <w:rFonts w:ascii="Times New Roman" w:hAnsi="Times New Roman"/>
        </w:rPr>
      </w:pPr>
      <w:r>
        <w:rPr>
          <w:rFonts w:ascii="Times New Roman" w:hAnsi="Times New Roman"/>
          <w:b/>
        </w:rPr>
        <w:lastRenderedPageBreak/>
        <w:t>Proeja FIC - Curso FIC Integrado ao Ensino Fundamental</w:t>
      </w:r>
      <w:r>
        <w:rPr>
          <w:rFonts w:ascii="Times New Roman" w:hAnsi="Times New Roman"/>
        </w:rPr>
        <w:t>: Combina o Ensino Fundamental com um curso de qualificação profissional. Destina-se a pessoas a partir de 15 anos que não concluíram o Ensino Fundamental, com duração de dois anos.</w:t>
      </w:r>
    </w:p>
    <w:p w:rsidR="005B7AB7" w:rsidRDefault="00000000">
      <w:pPr>
        <w:pStyle w:val="Standard"/>
        <w:widowControl/>
        <w:numPr>
          <w:ilvl w:val="0"/>
          <w:numId w:val="7"/>
        </w:numPr>
        <w:spacing w:line="360" w:lineRule="auto"/>
        <w:jc w:val="both"/>
        <w:rPr>
          <w:rFonts w:ascii="Times New Roman" w:hAnsi="Times New Roman"/>
        </w:rPr>
      </w:pPr>
      <w:r>
        <w:rPr>
          <w:rFonts w:ascii="Times New Roman" w:hAnsi="Times New Roman"/>
          <w:b/>
        </w:rPr>
        <w:t>Proeja FIC - Curso FIC Integrado ao Ensino Médio</w:t>
      </w:r>
      <w:r>
        <w:rPr>
          <w:rFonts w:ascii="Times New Roman" w:hAnsi="Times New Roman"/>
        </w:rPr>
        <w:t>: Oferece Ensino Médio junto com um curso de qualificação profissional. É voltado para pessoas a partir de 18 anos que não concluíram o Ensino Médio, com duração entre um ano e meio e dois anos.</w:t>
      </w:r>
    </w:p>
    <w:p w:rsidR="005B7AB7" w:rsidRDefault="00000000">
      <w:pPr>
        <w:pStyle w:val="Standard"/>
        <w:widowControl/>
        <w:numPr>
          <w:ilvl w:val="0"/>
          <w:numId w:val="7"/>
        </w:numPr>
        <w:spacing w:after="240" w:line="360" w:lineRule="auto"/>
        <w:jc w:val="both"/>
        <w:rPr>
          <w:rFonts w:ascii="Times New Roman" w:hAnsi="Times New Roman"/>
        </w:rPr>
      </w:pPr>
      <w:r>
        <w:rPr>
          <w:rFonts w:ascii="Times New Roman" w:hAnsi="Times New Roman"/>
          <w:b/>
        </w:rPr>
        <w:t>Proeja Técnico - Curso Técnico Integrado ao Ensino Médio</w:t>
      </w:r>
      <w:r>
        <w:rPr>
          <w:rFonts w:ascii="Times New Roman" w:hAnsi="Times New Roman"/>
        </w:rPr>
        <w:t>: Oferece a oportunidade de cursar o Ensino Médio junto com uma formação técnica. Esse curso é destinado a pessoas a partir de 18 anos que não tenham concluído o Ensino Médio, com duração de dois a três anos.</w:t>
      </w:r>
    </w:p>
    <w:p w:rsidR="005B7AB7" w:rsidRDefault="00000000">
      <w:pPr>
        <w:pStyle w:val="Standard"/>
        <w:widowControl/>
        <w:spacing w:after="57" w:line="360" w:lineRule="auto"/>
        <w:ind w:firstLine="709"/>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Quanto aos cursos superiores, têm-se:</w:t>
      </w:r>
    </w:p>
    <w:p w:rsidR="005B7AB7" w:rsidRDefault="00000000">
      <w:pPr>
        <w:pStyle w:val="Standard"/>
        <w:widowControl/>
        <w:spacing w:after="57" w:line="360" w:lineRule="auto"/>
        <w:ind w:firstLine="709"/>
        <w:jc w:val="both"/>
        <w:rPr>
          <w:rFonts w:ascii="Times New Roman" w:hAnsi="Times New Roman"/>
        </w:rPr>
      </w:pPr>
      <w:r>
        <w:rPr>
          <w:rFonts w:ascii="Times New Roman" w:hAnsi="Times New Roman"/>
          <w:shd w:val="clear" w:color="auto" w:fill="FFFFFF"/>
        </w:rPr>
        <w:t xml:space="preserve">I - </w:t>
      </w:r>
      <w:proofErr w:type="gramStart"/>
      <w:r>
        <w:rPr>
          <w:rFonts w:ascii="Times New Roman" w:eastAsia="Times New Roman" w:hAnsi="Times New Roman" w:cs="Times New Roman"/>
          <w:color w:val="000000"/>
          <w:shd w:val="clear" w:color="auto" w:fill="FFFFFF"/>
        </w:rPr>
        <w:t>os</w:t>
      </w:r>
      <w:proofErr w:type="gramEnd"/>
      <w:r>
        <w:rPr>
          <w:rFonts w:ascii="Times New Roman" w:eastAsia="Times New Roman" w:hAnsi="Times New Roman" w:cs="Times New Roman"/>
          <w:color w:val="000000"/>
          <w:shd w:val="clear" w:color="auto" w:fill="FFFFFF"/>
        </w:rPr>
        <w:t xml:space="preserve"> de tecnologia</w:t>
      </w:r>
      <w:r>
        <w:rPr>
          <w:rFonts w:ascii="Times New Roman" w:hAnsi="Times New Roman"/>
          <w:shd w:val="clear" w:color="auto" w:fill="FFFFFF"/>
        </w:rPr>
        <w:t>:</w:t>
      </w:r>
      <w:r>
        <w:rPr>
          <w:rFonts w:ascii="Times New Roman" w:eastAsia="Times New Roman" w:hAnsi="Times New Roman" w:cs="Times New Roman"/>
          <w:color w:val="000000"/>
          <w:shd w:val="clear" w:color="auto" w:fill="FFFFFF"/>
        </w:rPr>
        <w:t xml:space="preserve"> graduações focadas em demandas específicas do mundo do tr</w:t>
      </w:r>
      <w:r>
        <w:rPr>
          <w:rFonts w:ascii="Times New Roman" w:eastAsia="Times New Roman" w:hAnsi="Times New Roman" w:cs="Times New Roman"/>
          <w:color w:val="000000"/>
        </w:rPr>
        <w:t>abalho;</w:t>
      </w:r>
    </w:p>
    <w:p w:rsidR="005B7AB7" w:rsidRDefault="00000000">
      <w:pPr>
        <w:pStyle w:val="Standard"/>
        <w:widowControl/>
        <w:spacing w:after="57" w:line="360" w:lineRule="auto"/>
        <w:ind w:firstLine="709"/>
        <w:jc w:val="both"/>
        <w:rPr>
          <w:rFonts w:ascii="Times New Roman" w:hAnsi="Times New Roman"/>
        </w:rPr>
      </w:pPr>
      <w:r>
        <w:rPr>
          <w:rFonts w:ascii="Times New Roman" w:hAnsi="Times New Roman"/>
        </w:rPr>
        <w:t xml:space="preserve">II - </w:t>
      </w:r>
      <w:proofErr w:type="gramStart"/>
      <w:r>
        <w:rPr>
          <w:rFonts w:ascii="Times New Roman" w:eastAsia="Times New Roman" w:hAnsi="Times New Roman" w:cs="Times New Roman"/>
          <w:color w:val="000000"/>
        </w:rPr>
        <w:t>os</w:t>
      </w:r>
      <w:proofErr w:type="gramEnd"/>
      <w:r>
        <w:rPr>
          <w:rFonts w:ascii="Times New Roman" w:eastAsia="Times New Roman" w:hAnsi="Times New Roman" w:cs="Times New Roman"/>
          <w:color w:val="000000"/>
        </w:rPr>
        <w:t xml:space="preserve"> bacharelados: cursos de graduação mais generalistas ou abrangentes;</w:t>
      </w:r>
    </w:p>
    <w:p w:rsidR="005B7AB7" w:rsidRDefault="00000000">
      <w:pPr>
        <w:pStyle w:val="Standard"/>
        <w:widowControl/>
        <w:spacing w:after="57" w:line="360" w:lineRule="auto"/>
        <w:ind w:firstLine="709"/>
        <w:jc w:val="both"/>
        <w:rPr>
          <w:rFonts w:ascii="Times New Roman" w:hAnsi="Times New Roman"/>
        </w:rPr>
      </w:pPr>
      <w:r>
        <w:rPr>
          <w:rFonts w:ascii="Times New Roman" w:hAnsi="Times New Roman"/>
        </w:rPr>
        <w:t xml:space="preserve">III - as </w:t>
      </w:r>
      <w:r>
        <w:rPr>
          <w:rFonts w:ascii="Times New Roman" w:eastAsia="Times New Roman" w:hAnsi="Times New Roman" w:cs="Times New Roman"/>
          <w:color w:val="000000"/>
        </w:rPr>
        <w:t>licenciaturas: habilitam o aluno a exercer a docência na educação básica;</w:t>
      </w:r>
    </w:p>
    <w:p w:rsidR="005B7AB7" w:rsidRDefault="00000000">
      <w:pPr>
        <w:pStyle w:val="Standard"/>
        <w:widowControl/>
        <w:spacing w:after="57" w:line="360" w:lineRule="auto"/>
        <w:ind w:firstLine="709"/>
        <w:jc w:val="both"/>
        <w:rPr>
          <w:rFonts w:ascii="Times New Roman" w:hAnsi="Times New Roman"/>
        </w:rPr>
      </w:pPr>
      <w:r>
        <w:rPr>
          <w:rFonts w:ascii="Times New Roman" w:hAnsi="Times New Roman"/>
        </w:rPr>
        <w:t>E</w:t>
      </w:r>
      <w:r>
        <w:rPr>
          <w:rFonts w:ascii="Times New Roman" w:eastAsia="Times New Roman" w:hAnsi="Times New Roman" w:cs="Times New Roman"/>
          <w:color w:val="000000"/>
        </w:rPr>
        <w:t>m nível de pós-graduação têm-se as especializações (</w:t>
      </w:r>
      <w:r>
        <w:rPr>
          <w:rFonts w:ascii="Times New Roman" w:eastAsia="Times New Roman" w:hAnsi="Times New Roman" w:cs="Times New Roman"/>
          <w:i/>
          <w:color w:val="000000"/>
        </w:rPr>
        <w:t>lato sensu</w:t>
      </w:r>
      <w:r>
        <w:rPr>
          <w:rFonts w:ascii="Times New Roman" w:eastAsia="Times New Roman" w:hAnsi="Times New Roman" w:cs="Times New Roman"/>
          <w:color w:val="000000"/>
        </w:rPr>
        <w:t>), em boa parte também voltadas à formação de formadores, e os mestrados profissionais (</w:t>
      </w:r>
      <w:r>
        <w:rPr>
          <w:rFonts w:ascii="Times New Roman" w:eastAsia="Times New Roman" w:hAnsi="Times New Roman" w:cs="Times New Roman"/>
          <w:i/>
          <w:color w:val="000000"/>
        </w:rPr>
        <w:t>stricto sensu</w:t>
      </w:r>
      <w:r>
        <w:rPr>
          <w:rFonts w:ascii="Times New Roman" w:eastAsia="Times New Roman" w:hAnsi="Times New Roman" w:cs="Times New Roman"/>
          <w:color w:val="000000"/>
        </w:rPr>
        <w:t>), que promovem a pesquisa aplicada mais diretamente às demandas da sociedade.</w:t>
      </w:r>
    </w:p>
    <w:p w:rsidR="005B7AB7" w:rsidRDefault="00000000">
      <w:pPr>
        <w:pStyle w:val="Standard"/>
        <w:widowControl/>
        <w:spacing w:after="57" w:line="360" w:lineRule="auto"/>
        <w:ind w:firstLine="709"/>
        <w:jc w:val="both"/>
        <w:rPr>
          <w:rFonts w:ascii="Times New Roman" w:hAnsi="Times New Roman"/>
        </w:rPr>
      </w:pPr>
      <w:r>
        <w:rPr>
          <w:rFonts w:ascii="Times New Roman" w:eastAsia="Times New Roman" w:hAnsi="Times New Roman" w:cs="Times New Roman"/>
          <w:color w:val="000000"/>
        </w:rPr>
        <w:t xml:space="preserve">Além disso, </w:t>
      </w:r>
      <w:r>
        <w:rPr>
          <w:rFonts w:ascii="Times New Roman" w:eastAsia="Times New Roman" w:hAnsi="Times New Roman" w:cs="Times New Roman"/>
          <w:color w:val="000000"/>
          <w:shd w:val="clear" w:color="auto" w:fill="FFFFFF"/>
        </w:rPr>
        <w:t xml:space="preserve">dentro da política institucional de ensino de línguas, </w:t>
      </w:r>
      <w:r>
        <w:rPr>
          <w:rFonts w:ascii="Times New Roman" w:eastAsia="Times New Roman" w:hAnsi="Times New Roman" w:cs="Times New Roman"/>
          <w:color w:val="000000"/>
        </w:rPr>
        <w:t xml:space="preserve">o IFSC ainda oferece </w:t>
      </w:r>
      <w:r>
        <w:rPr>
          <w:rFonts w:ascii="Times New Roman" w:eastAsia="Times New Roman" w:hAnsi="Times New Roman" w:cs="Times New Roman"/>
          <w:color w:val="000000"/>
          <w:shd w:val="clear" w:color="auto" w:fill="FFFFFF"/>
        </w:rPr>
        <w:t>cursos FIC de idiomas estrangeiros e de português para estrangeir</w:t>
      </w:r>
      <w:r>
        <w:rPr>
          <w:rFonts w:ascii="Times New Roman" w:eastAsia="Times New Roman" w:hAnsi="Times New Roman" w:cs="Times New Roman"/>
          <w:shd w:val="clear" w:color="auto" w:fill="FFFFFF"/>
        </w:rPr>
        <w:t>os</w:t>
      </w:r>
      <w:r>
        <w:rPr>
          <w:rFonts w:ascii="Times New Roman" w:hAnsi="Times New Roman"/>
          <w:shd w:val="clear" w:color="auto" w:fill="FFFFFF"/>
        </w:rPr>
        <w:t>, além de cursos de Libras e de português como segunda língua para surdos.</w:t>
      </w:r>
    </w:p>
    <w:p w:rsidR="005B7AB7" w:rsidRDefault="00000000">
      <w:pPr>
        <w:pStyle w:val="Standard"/>
        <w:widowControl/>
        <w:spacing w:after="57"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estudante matriculado em quaisquer desses tipos de curso pode realizar também pesquisa, caracterizada como pesquisa científica e tecnológica, aliada às necessidades da sociedade. Para isso, é necessária a articulação com instituições de fomento e com o setor produtivo, visando ao desenvolvimento regional e ao fortalecimento do campo científico e tecnológico do país. A pesquisa é concebida ainda como princípio educativo, com a intenção de que os estudantes </w:t>
      </w:r>
      <w:proofErr w:type="gramStart"/>
      <w:r>
        <w:rPr>
          <w:rFonts w:ascii="Times New Roman" w:eastAsia="Times New Roman" w:hAnsi="Times New Roman" w:cs="Times New Roman"/>
          <w:color w:val="000000"/>
        </w:rPr>
        <w:t>voltem-se</w:t>
      </w:r>
      <w:proofErr w:type="gramEnd"/>
      <w:r>
        <w:rPr>
          <w:rFonts w:ascii="Times New Roman" w:eastAsia="Times New Roman" w:hAnsi="Times New Roman" w:cs="Times New Roman"/>
          <w:color w:val="000000"/>
        </w:rPr>
        <w:t xml:space="preserve"> à investigação, geração e adaptação de soluções técnicas e tecnológicas em atendimento às necessidades da comunidade.</w:t>
      </w:r>
    </w:p>
    <w:p w:rsidR="005B7AB7" w:rsidRDefault="00000000">
      <w:pPr>
        <w:pStyle w:val="Standard"/>
        <w:widowControl/>
        <w:spacing w:after="57" w:line="360" w:lineRule="auto"/>
        <w:ind w:firstLine="709"/>
        <w:jc w:val="both"/>
        <w:rPr>
          <w:rFonts w:ascii="Times New Roman" w:hAnsi="Times New Roman"/>
        </w:rPr>
      </w:pPr>
      <w:r>
        <w:rPr>
          <w:rFonts w:ascii="Times New Roman" w:hAnsi="Times New Roman"/>
        </w:rPr>
        <w:t>É possível, ainda, desenvolver atividades de extensão</w:t>
      </w:r>
      <w:r>
        <w:rPr>
          <w:rFonts w:ascii="Times New Roman" w:eastAsia="Times New Roman" w:hAnsi="Times New Roman" w:cs="Times New Roman"/>
          <w:color w:val="000000"/>
        </w:rPr>
        <w:t xml:space="preserve"> </w:t>
      </w:r>
      <w:r>
        <w:rPr>
          <w:rFonts w:ascii="Times New Roman" w:hAnsi="Times New Roman"/>
        </w:rPr>
        <w:t>e</w:t>
      </w:r>
      <w:r>
        <w:rPr>
          <w:rFonts w:ascii="Times New Roman" w:eastAsia="Times New Roman" w:hAnsi="Times New Roman" w:cs="Times New Roman"/>
          <w:color w:val="000000"/>
        </w:rPr>
        <w:t xml:space="preserve"> estar efetivamente presente na sociedade, por meio de programas, projetos, cursos, eventos e produtos de extensão; é quando o IFSC </w:t>
      </w:r>
      <w:r>
        <w:rPr>
          <w:rFonts w:ascii="Times New Roman" w:eastAsia="Times New Roman" w:hAnsi="Times New Roman" w:cs="Times New Roman"/>
          <w:color w:val="000000"/>
        </w:rPr>
        <w:lastRenderedPageBreak/>
        <w:t xml:space="preserve">expande sua atuação para fora de seus prédios, chega à comunidade e realiza divulgação científica e tecnológica. A intenção aqui é dar significado aos </w:t>
      </w:r>
      <w:proofErr w:type="spellStart"/>
      <w:r>
        <w:rPr>
          <w:rFonts w:ascii="Times New Roman" w:eastAsia="Times New Roman" w:hAnsi="Times New Roman" w:cs="Times New Roman"/>
          <w:color w:val="000000"/>
        </w:rPr>
        <w:t>conteúdos</w:t>
      </w:r>
      <w:proofErr w:type="spellEnd"/>
      <w:r>
        <w:rPr>
          <w:rFonts w:ascii="Times New Roman" w:eastAsia="Times New Roman" w:hAnsi="Times New Roman" w:cs="Times New Roman"/>
          <w:color w:val="000000"/>
        </w:rPr>
        <w:t xml:space="preserve"> da sala de aula e questionar as certezas da ciência, promovendo avanços no entorno de seus </w:t>
      </w:r>
      <w:proofErr w:type="spellStart"/>
      <w:r>
        <w:rPr>
          <w:rFonts w:ascii="Times New Roman" w:eastAsia="Times New Roman" w:hAnsi="Times New Roman" w:cs="Times New Roman"/>
          <w:color w:val="000000"/>
        </w:rPr>
        <w:t>câmpus</w:t>
      </w:r>
      <w:proofErr w:type="spellEnd"/>
      <w:r>
        <w:rPr>
          <w:rFonts w:ascii="Times New Roman" w:eastAsia="Times New Roman" w:hAnsi="Times New Roman" w:cs="Times New Roman"/>
          <w:color w:val="000000"/>
        </w:rPr>
        <w:t>. As empresas, indústrias, governos, empreendedores, autônomos e outros públicos também podem demandar atividades extensionistas ao IFSC. O diálogo entre instituto de ciência e tecnologia, sociedade civil organizada e empresariado é uma excelente forma de promoção do desenvolvimento educacional integral.</w:t>
      </w:r>
    </w:p>
    <w:p w:rsidR="005B7AB7" w:rsidRDefault="005B7AB7">
      <w:pPr>
        <w:pStyle w:val="Standard"/>
        <w:tabs>
          <w:tab w:val="left" w:pos="850"/>
        </w:tabs>
        <w:spacing w:before="57"/>
        <w:jc w:val="both"/>
        <w:rPr>
          <w:rFonts w:ascii="Times New Roman" w:hAnsi="Times New Roman"/>
        </w:rPr>
      </w:pPr>
    </w:p>
    <w:sectPr w:rsidR="005B7AB7">
      <w:headerReference w:type="default" r:id="rId20"/>
      <w:footerReference w:type="default" r:id="rId21"/>
      <w:pgSz w:w="11906" w:h="16838"/>
      <w:pgMar w:top="2693" w:right="1134" w:bottom="1766" w:left="1134" w:header="1134" w:footer="53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0C64" w:rsidRDefault="006B0C64">
      <w:r>
        <w:separator/>
      </w:r>
    </w:p>
  </w:endnote>
  <w:endnote w:type="continuationSeparator" w:id="0">
    <w:p w:rsidR="006B0C64" w:rsidRDefault="006B0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Linux Libertine G">
    <w:altName w:val="Cambria"/>
    <w:charset w:val="00"/>
    <w:family w:val="auto"/>
    <w:pitch w:val="variable"/>
  </w:font>
  <w:font w:name="Liberation Sans">
    <w:charset w:val="00"/>
    <w:family w:val="swiss"/>
    <w:pitch w:val="variable"/>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Standard"/>
      <w:tabs>
        <w:tab w:val="center" w:pos="4819"/>
        <w:tab w:val="right" w:pos="9638"/>
      </w:tabs>
      <w:rPr>
        <w:rFonts w:ascii="Times New Roman" w:eastAsia="Times New Roman" w:hAnsi="Times New Roman" w:cs="Times New Roman"/>
        <w:color w:val="000000"/>
      </w:rPr>
    </w:pPr>
  </w:p>
  <w:p w:rsidR="00000000" w:rsidRDefault="00000000">
    <w:pPr>
      <w:pStyle w:val="Standard"/>
      <w:tabs>
        <w:tab w:val="center" w:pos="4819"/>
        <w:tab w:val="right" w:pos="9638"/>
      </w:tabs>
      <w:rPr>
        <w:rFonts w:ascii="Times New Roman" w:eastAsia="Times New Roman" w:hAnsi="Times New Roman" w:cs="Times New Roman"/>
        <w:color w:val="000000"/>
      </w:rPr>
    </w:pPr>
  </w:p>
  <w:p w:rsidR="00000000" w:rsidRDefault="00000000">
    <w:pPr>
      <w:pStyle w:val="Standard"/>
      <w:tabs>
        <w:tab w:val="center" w:pos="4819"/>
        <w:tab w:val="right" w:pos="9638"/>
      </w:tabs>
      <w:jc w:val="right"/>
    </w:pPr>
    <w:r>
      <w:fldChar w:fldCharType="begin"/>
    </w:r>
    <w:r>
      <w:instrText xml:space="preserve"> PAGE </w:instrText>
    </w:r>
    <w:r>
      <w:fldChar w:fldCharType="separate"/>
    </w:r>
    <w: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0C64" w:rsidRDefault="006B0C64">
      <w:r>
        <w:rPr>
          <w:color w:val="000000"/>
        </w:rPr>
        <w:separator/>
      </w:r>
    </w:p>
  </w:footnote>
  <w:footnote w:type="continuationSeparator" w:id="0">
    <w:p w:rsidR="006B0C64" w:rsidRDefault="006B0C64">
      <w:r>
        <w:continuationSeparator/>
      </w:r>
    </w:p>
  </w:footnote>
  <w:footnote w:id="1">
    <w:p w:rsidR="005B7AB7" w:rsidRDefault="00000000">
      <w:pPr>
        <w:pStyle w:val="Standard"/>
        <w:spacing w:before="57" w:after="57"/>
        <w:ind w:left="339" w:hanging="339"/>
        <w:jc w:val="both"/>
        <w:rPr>
          <w:rFonts w:ascii="Times New Roman" w:eastAsia="Times New Roman" w:hAnsi="Times New Roman" w:cs="Times New Roman"/>
          <w:color w:val="000000"/>
          <w:sz w:val="20"/>
          <w:szCs w:val="20"/>
        </w:rPr>
      </w:pPr>
      <w:r>
        <w:rPr>
          <w:rStyle w:val="Refdenotaderodap"/>
        </w:rPr>
        <w:footnoteRef/>
      </w:r>
      <w:r>
        <w:rPr>
          <w:rFonts w:ascii="Times New Roman" w:eastAsia="Times New Roman" w:hAnsi="Times New Roman" w:cs="Times New Roman"/>
          <w:color w:val="000000"/>
          <w:sz w:val="20"/>
          <w:szCs w:val="20"/>
        </w:rPr>
        <w:tab/>
        <w:t xml:space="preserve">Por ser autarquia, conta com autonomia administrativa, patrimonial, financeira, didático-pedagógica e disciplinar. Quanto à </w:t>
      </w:r>
      <w:proofErr w:type="spellStart"/>
      <w:r>
        <w:rPr>
          <w:rFonts w:ascii="Times New Roman" w:eastAsia="Times New Roman" w:hAnsi="Times New Roman" w:cs="Times New Roman"/>
          <w:color w:val="000000"/>
          <w:sz w:val="20"/>
          <w:szCs w:val="20"/>
        </w:rPr>
        <w:t>Setec</w:t>
      </w:r>
      <w:proofErr w:type="spellEnd"/>
      <w:r>
        <w:rPr>
          <w:rFonts w:ascii="Times New Roman" w:eastAsia="Times New Roman" w:hAnsi="Times New Roman" w:cs="Times New Roman"/>
          <w:color w:val="000000"/>
          <w:sz w:val="20"/>
          <w:szCs w:val="20"/>
        </w:rPr>
        <w:t>/MEC, cabe o planejamento e o desenvolvimento de toda a Rede Federal, assim, é de sua competência prever a disponibilidade orçamentária e financeira da Rede.</w:t>
      </w:r>
    </w:p>
  </w:footnote>
  <w:footnote w:id="2">
    <w:p w:rsidR="005B7AB7" w:rsidRDefault="00000000">
      <w:pPr>
        <w:pStyle w:val="Standard"/>
        <w:spacing w:before="57" w:after="57"/>
        <w:ind w:left="339" w:hanging="339"/>
        <w:jc w:val="both"/>
        <w:rPr>
          <w:rFonts w:ascii="Times New Roman" w:eastAsia="Times New Roman" w:hAnsi="Times New Roman" w:cs="Times New Roman"/>
          <w:color w:val="000000"/>
          <w:sz w:val="20"/>
          <w:szCs w:val="20"/>
        </w:rPr>
      </w:pPr>
      <w:r>
        <w:rPr>
          <w:rStyle w:val="Refdenotaderodap"/>
        </w:rPr>
        <w:footnoteRef/>
      </w:r>
      <w:r>
        <w:rPr>
          <w:rFonts w:ascii="Times New Roman" w:eastAsia="Times New Roman" w:hAnsi="Times New Roman" w:cs="Times New Roman"/>
          <w:color w:val="000000"/>
          <w:sz w:val="20"/>
          <w:szCs w:val="20"/>
        </w:rPr>
        <w:tab/>
        <w:t>O Câmpus Jaraguá do Sul-</w:t>
      </w:r>
      <w:proofErr w:type="spellStart"/>
      <w:r>
        <w:rPr>
          <w:rFonts w:ascii="Times New Roman" w:eastAsia="Times New Roman" w:hAnsi="Times New Roman" w:cs="Times New Roman"/>
          <w:color w:val="000000"/>
          <w:sz w:val="20"/>
          <w:szCs w:val="20"/>
        </w:rPr>
        <w:t>Rau</w:t>
      </w:r>
      <w:proofErr w:type="spellEnd"/>
      <w:r>
        <w:rPr>
          <w:rFonts w:ascii="Times New Roman" w:eastAsia="Times New Roman" w:hAnsi="Times New Roman" w:cs="Times New Roman"/>
          <w:color w:val="000000"/>
          <w:sz w:val="20"/>
          <w:szCs w:val="20"/>
        </w:rPr>
        <w:t xml:space="preserve"> era chamado pela comunidade de “Câmpus Geraldo </w:t>
      </w:r>
      <w:proofErr w:type="spellStart"/>
      <w:r>
        <w:rPr>
          <w:rFonts w:ascii="Times New Roman" w:eastAsia="Times New Roman" w:hAnsi="Times New Roman" w:cs="Times New Roman"/>
          <w:color w:val="000000"/>
          <w:sz w:val="20"/>
          <w:szCs w:val="20"/>
        </w:rPr>
        <w:t>Werninghaus</w:t>
      </w:r>
      <w:proofErr w:type="spellEnd"/>
      <w:r>
        <w:rPr>
          <w:rFonts w:ascii="Times New Roman" w:eastAsia="Times New Roman" w:hAnsi="Times New Roman" w:cs="Times New Roman"/>
          <w:color w:val="000000"/>
          <w:sz w:val="20"/>
          <w:szCs w:val="20"/>
        </w:rPr>
        <w:t xml:space="preserve">”, por ter se originado da federalização do Centro Politécnico Geraldo </w:t>
      </w:r>
      <w:proofErr w:type="spellStart"/>
      <w:r>
        <w:rPr>
          <w:rFonts w:ascii="Times New Roman" w:eastAsia="Times New Roman" w:hAnsi="Times New Roman" w:cs="Times New Roman"/>
          <w:color w:val="000000"/>
          <w:sz w:val="20"/>
          <w:szCs w:val="20"/>
        </w:rPr>
        <w:t>Werninghaus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Cepeg</w:t>
      </w:r>
      <w:proofErr w:type="spellEnd"/>
      <w:r>
        <w:rPr>
          <w:rFonts w:ascii="Times New Roman" w:eastAsia="Times New Roman" w:hAnsi="Times New Roman" w:cs="Times New Roman"/>
          <w:color w:val="000000"/>
          <w:sz w:val="20"/>
          <w:szCs w:val="20"/>
        </w:rPr>
        <w:t>). Em maio de 2016, a partir da publicação da Portaria nº 378 do MEC, que atualizou a lista de unidades da Rede Federal EPT, seu nome foi oficializado como "Câmpus Jaraguá do Sul-</w:t>
      </w:r>
      <w:proofErr w:type="spellStart"/>
      <w:r>
        <w:rPr>
          <w:rFonts w:ascii="Times New Roman" w:eastAsia="Times New Roman" w:hAnsi="Times New Roman" w:cs="Times New Roman"/>
          <w:color w:val="000000"/>
          <w:sz w:val="20"/>
          <w:szCs w:val="20"/>
        </w:rPr>
        <w:t>Rau</w:t>
      </w:r>
      <w:proofErr w:type="spellEnd"/>
      <w:r>
        <w:rPr>
          <w:rFonts w:ascii="Times New Roman" w:eastAsia="Times New Roman" w:hAnsi="Times New Roman" w:cs="Times New Roman"/>
          <w:color w:val="000000"/>
          <w:sz w:val="20"/>
          <w:szCs w:val="20"/>
        </w:rPr>
        <w:t>".</w:t>
      </w:r>
    </w:p>
  </w:footnote>
  <w:footnote w:id="3">
    <w:p w:rsidR="005B7AB7" w:rsidRDefault="00000000">
      <w:pPr>
        <w:pStyle w:val="Standard"/>
        <w:spacing w:before="57" w:after="57"/>
        <w:ind w:left="339" w:hanging="339"/>
        <w:jc w:val="both"/>
      </w:pPr>
      <w:r>
        <w:rPr>
          <w:rStyle w:val="Refdenotaderodap"/>
        </w:rPr>
        <w:footnoteRef/>
      </w:r>
      <w:r>
        <w:rPr>
          <w:rFonts w:ascii="Times New Roman" w:eastAsia="Times New Roman" w:hAnsi="Times New Roman" w:cs="Times New Roman"/>
          <w:color w:val="000000"/>
          <w:sz w:val="20"/>
          <w:szCs w:val="20"/>
        </w:rPr>
        <w:tab/>
        <w:t xml:space="preserve">O nome dado pela portaria de autorização de funcionamento pelo MEC é Câmpus Palhoça, porém, utiliza-se Palhoça </w:t>
      </w:r>
      <w:r>
        <w:rPr>
          <w:sz w:val="20"/>
          <w:szCs w:val="20"/>
        </w:rPr>
        <w:t>Bilíngue</w:t>
      </w:r>
      <w:r>
        <w:rPr>
          <w:rFonts w:ascii="Times New Roman" w:eastAsia="Times New Roman" w:hAnsi="Times New Roman" w:cs="Times New Roman"/>
          <w:color w:val="000000"/>
          <w:sz w:val="20"/>
          <w:szCs w:val="20"/>
        </w:rPr>
        <w:t xml:space="preserve"> como forma de reforçar para a comunidade a característica diferenciada dessa unidade e consolidar a marca de escola profissional bilíngue (</w:t>
      </w:r>
      <w:r>
        <w:rPr>
          <w:sz w:val="20"/>
          <w:szCs w:val="20"/>
        </w:rPr>
        <w:t>L</w:t>
      </w:r>
      <w:r>
        <w:rPr>
          <w:rFonts w:ascii="Times New Roman" w:eastAsia="Times New Roman" w:hAnsi="Times New Roman" w:cs="Times New Roman"/>
          <w:color w:val="000000"/>
          <w:sz w:val="20"/>
          <w:szCs w:val="20"/>
        </w:rPr>
        <w:t>ibras/português).</w:t>
      </w:r>
    </w:p>
  </w:footnote>
  <w:footnote w:id="4">
    <w:p w:rsidR="005B7AB7" w:rsidRDefault="00000000">
      <w:pPr>
        <w:pStyle w:val="Standard"/>
        <w:jc w:val="both"/>
        <w:rPr>
          <w:sz w:val="20"/>
          <w:szCs w:val="20"/>
        </w:rPr>
      </w:pPr>
      <w:r>
        <w:rPr>
          <w:rStyle w:val="Refdenotaderodap"/>
        </w:rPr>
        <w:footnoteRef/>
      </w:r>
      <w:r>
        <w:rPr>
          <w:sz w:val="20"/>
          <w:szCs w:val="20"/>
        </w:rPr>
        <w:t xml:space="preserve">    </w:t>
      </w:r>
      <w:r w:rsidRPr="00706CFA">
        <w:rPr>
          <w:rFonts w:ascii="Times New Roman" w:eastAsia="Times New Roman" w:hAnsi="Times New Roman" w:cs="Times New Roman"/>
          <w:color w:val="000000"/>
          <w:sz w:val="20"/>
          <w:szCs w:val="20"/>
        </w:rPr>
        <w:t>O Câmpus Tijucas está em processo de implantação, mas ainda sem portaria de funcionamento</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Standard"/>
      <w:tabs>
        <w:tab w:val="center" w:pos="4819"/>
        <w:tab w:val="right" w:pos="9135"/>
        <w:tab w:val="right" w:pos="9638"/>
      </w:tabs>
      <w:ind w:right="255"/>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9264" behindDoc="1" locked="0" layoutInCell="1" allowOverlap="1">
          <wp:simplePos x="0" y="0"/>
          <wp:positionH relativeFrom="column">
            <wp:posOffset>-719280</wp:posOffset>
          </wp:positionH>
          <wp:positionV relativeFrom="margin">
            <wp:posOffset>-1589400</wp:posOffset>
          </wp:positionV>
          <wp:extent cx="7518599" cy="10635840"/>
          <wp:effectExtent l="0" t="0" r="6151" b="0"/>
          <wp:wrapNone/>
          <wp:docPr id="1" name="Form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18599" cy="106358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490E"/>
    <w:multiLevelType w:val="multilevel"/>
    <w:tmpl w:val="B3FEA93A"/>
    <w:styleLink w:val="WWNum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 w15:restartNumberingAfterBreak="0">
    <w:nsid w:val="08C639F8"/>
    <w:multiLevelType w:val="multilevel"/>
    <w:tmpl w:val="1B3E93A6"/>
    <w:styleLink w:val="WWNum5"/>
    <w:lvl w:ilvl="0">
      <w:start w:val="1"/>
      <w:numFmt w:val="upperRoman"/>
      <w:lvlText w:val="%1."/>
      <w:lvlJc w:val="right"/>
      <w:pPr>
        <w:ind w:left="709" w:firstLine="0"/>
      </w:pPr>
    </w:lvl>
    <w:lvl w:ilvl="1">
      <w:start w:val="1"/>
      <w:numFmt w:val="upperRoman"/>
      <w:lvlText w:val="%2."/>
      <w:lvlJc w:val="right"/>
      <w:pPr>
        <w:ind w:left="1508" w:hanging="174"/>
      </w:pPr>
    </w:lvl>
    <w:lvl w:ilvl="2">
      <w:start w:val="1"/>
      <w:numFmt w:val="upperRoman"/>
      <w:lvlText w:val="%3."/>
      <w:lvlJc w:val="right"/>
      <w:pPr>
        <w:ind w:left="1191" w:hanging="174"/>
      </w:pPr>
    </w:lvl>
    <w:lvl w:ilvl="3">
      <w:start w:val="1"/>
      <w:numFmt w:val="upperRoman"/>
      <w:lvlText w:val="%4."/>
      <w:lvlJc w:val="right"/>
      <w:pPr>
        <w:ind w:left="2262" w:hanging="174"/>
      </w:pPr>
    </w:lvl>
    <w:lvl w:ilvl="4">
      <w:start w:val="1"/>
      <w:numFmt w:val="upperRoman"/>
      <w:lvlText w:val="%5."/>
      <w:lvlJc w:val="right"/>
      <w:pPr>
        <w:ind w:left="3016" w:hanging="173"/>
      </w:pPr>
    </w:lvl>
    <w:lvl w:ilvl="5">
      <w:start w:val="1"/>
      <w:numFmt w:val="upperRoman"/>
      <w:lvlText w:val="%6."/>
      <w:lvlJc w:val="right"/>
      <w:pPr>
        <w:ind w:left="3771" w:hanging="173"/>
      </w:pPr>
    </w:lvl>
    <w:lvl w:ilvl="6">
      <w:start w:val="1"/>
      <w:numFmt w:val="upperRoman"/>
      <w:lvlText w:val="%7."/>
      <w:lvlJc w:val="right"/>
      <w:pPr>
        <w:ind w:left="4525" w:hanging="174"/>
      </w:pPr>
    </w:lvl>
    <w:lvl w:ilvl="7">
      <w:start w:val="1"/>
      <w:numFmt w:val="upperRoman"/>
      <w:lvlText w:val="%8."/>
      <w:lvlJc w:val="right"/>
      <w:pPr>
        <w:ind w:left="5279" w:hanging="174"/>
      </w:pPr>
    </w:lvl>
    <w:lvl w:ilvl="8">
      <w:start w:val="1"/>
      <w:numFmt w:val="upperRoman"/>
      <w:lvlText w:val="%9."/>
      <w:lvlJc w:val="right"/>
      <w:pPr>
        <w:ind w:left="6033" w:hanging="174"/>
      </w:pPr>
    </w:lvl>
  </w:abstractNum>
  <w:abstractNum w:abstractNumId="2" w15:restartNumberingAfterBreak="0">
    <w:nsid w:val="1FC32396"/>
    <w:multiLevelType w:val="multilevel"/>
    <w:tmpl w:val="DDD4AA44"/>
    <w:styleLink w:val="WWNum4"/>
    <w:lvl w:ilvl="0">
      <w:numFmt w:val="bullet"/>
      <w:lvlText w:val="●"/>
      <w:lvlJc w:val="left"/>
      <w:pPr>
        <w:ind w:left="227" w:hanging="227"/>
      </w:pPr>
      <w:rPr>
        <w:rFonts w:ascii="Noto Sans Symbols" w:eastAsia="Noto Sans Symbols" w:hAnsi="Noto Sans Symbols" w:cs="Noto Sans Symbols"/>
        <w:b w:val="0"/>
        <w:sz w:val="22"/>
      </w:rPr>
    </w:lvl>
    <w:lvl w:ilvl="1">
      <w:numFmt w:val="bullet"/>
      <w:lvlText w:val="●"/>
      <w:lvlJc w:val="left"/>
      <w:pPr>
        <w:ind w:left="454" w:hanging="227"/>
      </w:pPr>
      <w:rPr>
        <w:rFonts w:ascii="Noto Sans Symbols" w:eastAsia="Noto Sans Symbols" w:hAnsi="Noto Sans Symbols" w:cs="Noto Sans Symbols"/>
      </w:rPr>
    </w:lvl>
    <w:lvl w:ilvl="2">
      <w:numFmt w:val="bullet"/>
      <w:lvlText w:val="●"/>
      <w:lvlJc w:val="left"/>
      <w:pPr>
        <w:ind w:left="680" w:hanging="227"/>
      </w:pPr>
      <w:rPr>
        <w:rFonts w:ascii="Noto Sans Symbols" w:eastAsia="Noto Sans Symbols" w:hAnsi="Noto Sans Symbols" w:cs="Noto Sans Symbols"/>
      </w:rPr>
    </w:lvl>
    <w:lvl w:ilvl="3">
      <w:numFmt w:val="bullet"/>
      <w:lvlText w:val="●"/>
      <w:lvlJc w:val="left"/>
      <w:pPr>
        <w:ind w:left="907" w:hanging="227"/>
      </w:pPr>
      <w:rPr>
        <w:rFonts w:ascii="Noto Sans Symbols" w:eastAsia="Noto Sans Symbols" w:hAnsi="Noto Sans Symbols" w:cs="Noto Sans Symbols"/>
      </w:rPr>
    </w:lvl>
    <w:lvl w:ilvl="4">
      <w:numFmt w:val="bullet"/>
      <w:lvlText w:val="●"/>
      <w:lvlJc w:val="left"/>
      <w:pPr>
        <w:ind w:left="1134" w:hanging="227"/>
      </w:pPr>
      <w:rPr>
        <w:rFonts w:ascii="Noto Sans Symbols" w:eastAsia="Noto Sans Symbols" w:hAnsi="Noto Sans Symbols" w:cs="Noto Sans Symbols"/>
      </w:rPr>
    </w:lvl>
    <w:lvl w:ilvl="5">
      <w:numFmt w:val="bullet"/>
      <w:lvlText w:val="●"/>
      <w:lvlJc w:val="left"/>
      <w:pPr>
        <w:ind w:left="1361" w:hanging="227"/>
      </w:pPr>
      <w:rPr>
        <w:rFonts w:ascii="Noto Sans Symbols" w:eastAsia="Noto Sans Symbols" w:hAnsi="Noto Sans Symbols" w:cs="Noto Sans Symbols"/>
      </w:rPr>
    </w:lvl>
    <w:lvl w:ilvl="6">
      <w:numFmt w:val="bullet"/>
      <w:lvlText w:val="●"/>
      <w:lvlJc w:val="left"/>
      <w:pPr>
        <w:ind w:left="1587" w:hanging="227"/>
      </w:pPr>
      <w:rPr>
        <w:rFonts w:ascii="Noto Sans Symbols" w:eastAsia="Noto Sans Symbols" w:hAnsi="Noto Sans Symbols" w:cs="Noto Sans Symbols"/>
      </w:rPr>
    </w:lvl>
    <w:lvl w:ilvl="7">
      <w:numFmt w:val="bullet"/>
      <w:lvlText w:val="●"/>
      <w:lvlJc w:val="left"/>
      <w:pPr>
        <w:ind w:left="1814" w:hanging="226"/>
      </w:pPr>
      <w:rPr>
        <w:rFonts w:ascii="Noto Sans Symbols" w:eastAsia="Noto Sans Symbols" w:hAnsi="Noto Sans Symbols" w:cs="Noto Sans Symbols"/>
      </w:rPr>
    </w:lvl>
    <w:lvl w:ilvl="8">
      <w:numFmt w:val="bullet"/>
      <w:lvlText w:val="●"/>
      <w:lvlJc w:val="left"/>
      <w:pPr>
        <w:ind w:left="2041" w:hanging="227"/>
      </w:pPr>
      <w:rPr>
        <w:rFonts w:ascii="Noto Sans Symbols" w:eastAsia="Noto Sans Symbols" w:hAnsi="Noto Sans Symbols" w:cs="Noto Sans Symbols"/>
      </w:rPr>
    </w:lvl>
  </w:abstractNum>
  <w:abstractNum w:abstractNumId="3" w15:restartNumberingAfterBreak="0">
    <w:nsid w:val="43736470"/>
    <w:multiLevelType w:val="multilevel"/>
    <w:tmpl w:val="AF2A5D76"/>
    <w:styleLink w:val="WWNum2"/>
    <w:lvl w:ilvl="0">
      <w:start w:val="1"/>
      <w:numFmt w:val="lowerLetter"/>
      <w:lvlText w:val="%1."/>
      <w:lvlJc w:val="left"/>
      <w:pPr>
        <w:ind w:left="754" w:hanging="397"/>
      </w:pPr>
    </w:lvl>
    <w:lvl w:ilvl="1">
      <w:start w:val="1"/>
      <w:numFmt w:val="lowerLetter"/>
      <w:lvlText w:val="%2)"/>
      <w:lvlJc w:val="left"/>
      <w:pPr>
        <w:ind w:left="1151" w:hanging="397"/>
      </w:pPr>
    </w:lvl>
    <w:lvl w:ilvl="2">
      <w:start w:val="1"/>
      <w:numFmt w:val="lowerLetter"/>
      <w:lvlText w:val="%3."/>
      <w:lvlJc w:val="left"/>
      <w:pPr>
        <w:ind w:left="1548" w:hanging="397"/>
      </w:pPr>
    </w:lvl>
    <w:lvl w:ilvl="3">
      <w:start w:val="1"/>
      <w:numFmt w:val="lowerLetter"/>
      <w:lvlText w:val="%4."/>
      <w:lvlJc w:val="left"/>
      <w:pPr>
        <w:ind w:left="1945" w:hanging="397"/>
      </w:pPr>
    </w:lvl>
    <w:lvl w:ilvl="4">
      <w:start w:val="1"/>
      <w:numFmt w:val="lowerLetter"/>
      <w:lvlText w:val="%5."/>
      <w:lvlJc w:val="left"/>
      <w:pPr>
        <w:ind w:left="2342" w:hanging="397"/>
      </w:pPr>
    </w:lvl>
    <w:lvl w:ilvl="5">
      <w:start w:val="1"/>
      <w:numFmt w:val="lowerLetter"/>
      <w:lvlText w:val="%6."/>
      <w:lvlJc w:val="left"/>
      <w:pPr>
        <w:ind w:left="2739" w:hanging="397"/>
      </w:pPr>
    </w:lvl>
    <w:lvl w:ilvl="6">
      <w:start w:val="1"/>
      <w:numFmt w:val="lowerLetter"/>
      <w:lvlText w:val="%7."/>
      <w:lvlJc w:val="left"/>
      <w:pPr>
        <w:ind w:left="3136" w:hanging="396"/>
      </w:pPr>
    </w:lvl>
    <w:lvl w:ilvl="7">
      <w:start w:val="1"/>
      <w:numFmt w:val="lowerLetter"/>
      <w:lvlText w:val="%8."/>
      <w:lvlJc w:val="left"/>
      <w:pPr>
        <w:ind w:left="3533" w:hanging="397"/>
      </w:pPr>
    </w:lvl>
    <w:lvl w:ilvl="8">
      <w:start w:val="1"/>
      <w:numFmt w:val="lowerLetter"/>
      <w:lvlText w:val="%9."/>
      <w:lvlJc w:val="left"/>
      <w:pPr>
        <w:ind w:left="3930" w:hanging="397"/>
      </w:pPr>
    </w:lvl>
  </w:abstractNum>
  <w:abstractNum w:abstractNumId="4" w15:restartNumberingAfterBreak="0">
    <w:nsid w:val="54BA37CF"/>
    <w:multiLevelType w:val="multilevel"/>
    <w:tmpl w:val="74D81988"/>
    <w:styleLink w:val="WWNum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 w15:restartNumberingAfterBreak="0">
    <w:nsid w:val="7F610C44"/>
    <w:multiLevelType w:val="multilevel"/>
    <w:tmpl w:val="584CE17E"/>
    <w:styleLink w:val="WWNum3"/>
    <w:lvl w:ilvl="0">
      <w:start w:val="1"/>
      <w:numFmt w:val="upperRoman"/>
      <w:lvlText w:val="%1."/>
      <w:lvlJc w:val="right"/>
      <w:pPr>
        <w:ind w:left="709" w:firstLine="0"/>
      </w:pPr>
    </w:lvl>
    <w:lvl w:ilvl="1">
      <w:start w:val="1"/>
      <w:numFmt w:val="upperRoman"/>
      <w:lvlText w:val="%2."/>
      <w:lvlJc w:val="right"/>
      <w:pPr>
        <w:ind w:left="1508" w:hanging="174"/>
      </w:pPr>
    </w:lvl>
    <w:lvl w:ilvl="2">
      <w:start w:val="1"/>
      <w:numFmt w:val="upperRoman"/>
      <w:lvlText w:val="%3."/>
      <w:lvlJc w:val="right"/>
      <w:pPr>
        <w:ind w:left="1191" w:hanging="174"/>
      </w:pPr>
    </w:lvl>
    <w:lvl w:ilvl="3">
      <w:start w:val="1"/>
      <w:numFmt w:val="upperRoman"/>
      <w:lvlText w:val="%4."/>
      <w:lvlJc w:val="right"/>
      <w:pPr>
        <w:ind w:left="2262" w:hanging="174"/>
      </w:pPr>
    </w:lvl>
    <w:lvl w:ilvl="4">
      <w:start w:val="1"/>
      <w:numFmt w:val="upperRoman"/>
      <w:lvlText w:val="%5."/>
      <w:lvlJc w:val="right"/>
      <w:pPr>
        <w:ind w:left="3016" w:hanging="173"/>
      </w:pPr>
    </w:lvl>
    <w:lvl w:ilvl="5">
      <w:start w:val="1"/>
      <w:numFmt w:val="upperRoman"/>
      <w:lvlText w:val="%6."/>
      <w:lvlJc w:val="right"/>
      <w:pPr>
        <w:ind w:left="3771" w:hanging="173"/>
      </w:pPr>
    </w:lvl>
    <w:lvl w:ilvl="6">
      <w:start w:val="1"/>
      <w:numFmt w:val="upperRoman"/>
      <w:lvlText w:val="%7."/>
      <w:lvlJc w:val="right"/>
      <w:pPr>
        <w:ind w:left="4525" w:hanging="174"/>
      </w:pPr>
    </w:lvl>
    <w:lvl w:ilvl="7">
      <w:start w:val="1"/>
      <w:numFmt w:val="upperRoman"/>
      <w:lvlText w:val="%8."/>
      <w:lvlJc w:val="right"/>
      <w:pPr>
        <w:ind w:left="5279" w:hanging="174"/>
      </w:pPr>
    </w:lvl>
    <w:lvl w:ilvl="8">
      <w:start w:val="1"/>
      <w:numFmt w:val="upperRoman"/>
      <w:lvlText w:val="%9."/>
      <w:lvlJc w:val="right"/>
      <w:pPr>
        <w:ind w:left="6033" w:hanging="174"/>
      </w:pPr>
    </w:lvl>
  </w:abstractNum>
  <w:abstractNum w:abstractNumId="6" w15:restartNumberingAfterBreak="0">
    <w:nsid w:val="7F9549E6"/>
    <w:multiLevelType w:val="multilevel"/>
    <w:tmpl w:val="94AC0278"/>
    <w:styleLink w:val="WWNum1"/>
    <w:lvl w:ilvl="0">
      <w:start w:val="1"/>
      <w:numFmt w:val="decimal"/>
      <w:lvlText w:val="Capítulo %1 – "/>
      <w:lvlJc w:val="left"/>
      <w:pPr>
        <w:ind w:left="113" w:hanging="113"/>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234826402">
    <w:abstractNumId w:val="6"/>
  </w:num>
  <w:num w:numId="2" w16cid:durableId="135270363">
    <w:abstractNumId w:val="3"/>
  </w:num>
  <w:num w:numId="3" w16cid:durableId="811602792">
    <w:abstractNumId w:val="5"/>
  </w:num>
  <w:num w:numId="4" w16cid:durableId="1408722673">
    <w:abstractNumId w:val="2"/>
  </w:num>
  <w:num w:numId="5" w16cid:durableId="1547448741">
    <w:abstractNumId w:val="1"/>
  </w:num>
  <w:num w:numId="6" w16cid:durableId="1922639807">
    <w:abstractNumId w:val="4"/>
  </w:num>
  <w:num w:numId="7" w16cid:durableId="1426612913">
    <w:abstractNumId w:val="0"/>
  </w:num>
  <w:num w:numId="8" w16cid:durableId="693381919">
    <w:abstractNumId w:val="6"/>
    <w:lvlOverride w:ilvl="0">
      <w:startOverride w:val="1"/>
    </w:lvlOverride>
  </w:num>
  <w:num w:numId="9" w16cid:durableId="986124764">
    <w:abstractNumId w:val="5"/>
    <w:lvlOverride w:ilvl="0">
      <w:startOverride w:val="1"/>
    </w:lvlOverride>
  </w:num>
  <w:num w:numId="10" w16cid:durableId="1776057215">
    <w:abstractNumId w:val="1"/>
    <w:lvlOverride w:ilvl="0">
      <w:startOverride w:val="1"/>
    </w:lvlOverride>
  </w:num>
  <w:num w:numId="11" w16cid:durableId="262417630">
    <w:abstractNumId w:val="4"/>
    <w:lvlOverride w:ilvl="0"/>
  </w:num>
  <w:num w:numId="12" w16cid:durableId="1779376309">
    <w:abstractNumId w:val="2"/>
    <w:lvlOverride w:ilvl="0"/>
  </w:num>
  <w:num w:numId="13" w16cid:durableId="2109233057">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5B7AB7"/>
    <w:rsid w:val="005B7AB7"/>
    <w:rsid w:val="006B0C64"/>
    <w:rsid w:val="00706CFA"/>
    <w:rsid w:val="00D83C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16A3E7-35B8-4301-A2E8-D5CA7528E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Linux Libertine G" w:hAnsi="Calibri" w:cs="Linux Libertine G"/>
        <w:sz w:val="24"/>
        <w:szCs w:val="24"/>
        <w:lang w:val="pt-B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spacing w:before="240" w:after="120"/>
      <w:ind w:left="113" w:hanging="113"/>
      <w:jc w:val="center"/>
      <w:outlineLvl w:val="0"/>
    </w:pPr>
    <w:rPr>
      <w:rFonts w:ascii="Times New Roman" w:eastAsia="Times New Roman" w:hAnsi="Times New Roman" w:cs="Times New Roman"/>
      <w:b/>
      <w:smallCaps/>
      <w:color w:val="006400"/>
      <w:sz w:val="28"/>
      <w:szCs w:val="28"/>
    </w:rPr>
  </w:style>
  <w:style w:type="paragraph" w:styleId="Ttulo2">
    <w:name w:val="heading 2"/>
    <w:basedOn w:val="Normal"/>
    <w:next w:val="Standard"/>
    <w:uiPriority w:val="9"/>
    <w:unhideWhenUsed/>
    <w:qFormat/>
    <w:pPr>
      <w:keepNext/>
      <w:spacing w:before="340" w:after="170"/>
      <w:ind w:left="576" w:hanging="576"/>
      <w:outlineLvl w:val="1"/>
    </w:pPr>
    <w:rPr>
      <w:rFonts w:ascii="Times New Roman" w:eastAsia="Times New Roman" w:hAnsi="Times New Roman" w:cs="Times New Roman"/>
      <w:b/>
      <w:smallCaps/>
      <w:color w:val="000000"/>
    </w:rPr>
  </w:style>
  <w:style w:type="paragraph" w:styleId="Ttulo3">
    <w:name w:val="heading 3"/>
    <w:basedOn w:val="Normal"/>
    <w:next w:val="Standard"/>
    <w:uiPriority w:val="9"/>
    <w:semiHidden/>
    <w:unhideWhenUsed/>
    <w:qFormat/>
    <w:pPr>
      <w:keepNext/>
      <w:spacing w:before="340" w:after="170"/>
      <w:ind w:left="720" w:hanging="720"/>
      <w:outlineLvl w:val="2"/>
    </w:pPr>
    <w:rPr>
      <w:rFonts w:ascii="Times New Roman" w:eastAsia="Times New Roman" w:hAnsi="Times New Roman" w:cs="Times New Roman"/>
      <w:b/>
      <w:color w:val="000000"/>
    </w:rPr>
  </w:style>
  <w:style w:type="paragraph" w:styleId="Ttulo4">
    <w:name w:val="heading 4"/>
    <w:basedOn w:val="Normal"/>
    <w:next w:val="Standard"/>
    <w:uiPriority w:val="9"/>
    <w:semiHidden/>
    <w:unhideWhenUsed/>
    <w:qFormat/>
    <w:pPr>
      <w:keepNext/>
      <w:spacing w:before="120" w:after="120"/>
      <w:outlineLvl w:val="3"/>
    </w:pPr>
    <w:rPr>
      <w:rFonts w:ascii="Times New Roman" w:eastAsia="Times New Roman" w:hAnsi="Times New Roman" w:cs="Times New Roman"/>
      <w:b/>
      <w:color w:val="006633"/>
    </w:rPr>
  </w:style>
  <w:style w:type="paragraph" w:styleId="Ttulo5">
    <w:name w:val="heading 5"/>
    <w:basedOn w:val="Normal"/>
    <w:next w:val="Standard"/>
    <w:uiPriority w:val="9"/>
    <w:semiHidden/>
    <w:unhideWhenUsed/>
    <w:qFormat/>
    <w:pPr>
      <w:keepNext/>
      <w:keepLines/>
      <w:spacing w:before="220" w:after="40"/>
      <w:outlineLvl w:val="4"/>
    </w:pPr>
    <w:rPr>
      <w:rFonts w:eastAsia="Calibri" w:cs="Calibri"/>
      <w:b/>
      <w:color w:val="000000"/>
      <w:sz w:val="22"/>
      <w:szCs w:val="22"/>
    </w:rPr>
  </w:style>
  <w:style w:type="paragraph" w:styleId="Ttulo6">
    <w:name w:val="heading 6"/>
    <w:basedOn w:val="Normal"/>
    <w:next w:val="Standard"/>
    <w:uiPriority w:val="9"/>
    <w:semiHidden/>
    <w:unhideWhenUsed/>
    <w:qFormat/>
    <w:pPr>
      <w:keepNext/>
      <w:keepLines/>
      <w:spacing w:before="200" w:after="40"/>
      <w:outlineLvl w:val="5"/>
    </w:pPr>
    <w:rPr>
      <w:rFonts w:eastAsia="Calibri" w:cs="Calibri"/>
      <w:b/>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tulo">
    <w:name w:val="Title"/>
    <w:basedOn w:val="Normal"/>
    <w:next w:val="Standard"/>
    <w:uiPriority w:val="10"/>
    <w:qFormat/>
    <w:pPr>
      <w:keepNext/>
      <w:keepLines/>
      <w:spacing w:before="480" w:after="120"/>
    </w:pPr>
    <w:rPr>
      <w:rFonts w:eastAsia="Calibri" w:cs="Calibri"/>
      <w:b/>
      <w:color w:val="000000"/>
    </w:rPr>
  </w:style>
  <w:style w:type="paragraph" w:styleId="Subttulo">
    <w:name w:val="Subtitle"/>
    <w:basedOn w:val="Normal"/>
    <w:next w:val="Standard"/>
    <w:uiPriority w:val="11"/>
    <w:qFormat/>
    <w:pPr>
      <w:keepNext/>
      <w:keepLines/>
      <w:spacing w:before="340" w:after="170"/>
    </w:pPr>
    <w:rPr>
      <w:rFonts w:ascii="Georgia" w:eastAsia="Georgia" w:hAnsi="Georgia" w:cs="Georgia"/>
      <w:b/>
      <w:color w:val="000000"/>
    </w:rPr>
  </w:style>
  <w:style w:type="paragraph" w:customStyle="1" w:styleId="Footnote">
    <w:name w:val="Footnote"/>
    <w:basedOn w:val="Standard"/>
  </w:style>
  <w:style w:type="paragraph" w:customStyle="1" w:styleId="HeaderandFooter">
    <w:name w:val="Header and Footer"/>
    <w:basedOn w:val="Standard"/>
    <w:pPr>
      <w:suppressLineNumbers/>
      <w:tabs>
        <w:tab w:val="center" w:pos="4819"/>
        <w:tab w:val="right" w:pos="9638"/>
      </w:tabs>
    </w:pPr>
  </w:style>
  <w:style w:type="paragraph" w:styleId="Cabealho">
    <w:name w:val="header"/>
    <w:basedOn w:val="Standard"/>
  </w:style>
  <w:style w:type="paragraph" w:styleId="Rodap">
    <w:name w:val="footer"/>
    <w:basedOn w:val="Standard"/>
  </w:style>
  <w:style w:type="character" w:customStyle="1" w:styleId="ListLabel1">
    <w:name w:val="ListLabel 1"/>
    <w:rPr>
      <w:rFonts w:eastAsia="Noto Sans Symbols" w:cs="Noto Sans Symbols"/>
      <w:b w:val="0"/>
      <w:sz w:val="22"/>
    </w:rPr>
  </w:style>
  <w:style w:type="character" w:customStyle="1" w:styleId="ListLabel2">
    <w:name w:val="ListLabel 2"/>
    <w:rPr>
      <w:rFonts w:eastAsia="Noto Sans Symbols" w:cs="Noto Sans Symbols"/>
    </w:rPr>
  </w:style>
  <w:style w:type="character" w:customStyle="1" w:styleId="ListLabel3">
    <w:name w:val="ListLabel 3"/>
    <w:rPr>
      <w:rFonts w:eastAsia="Noto Sans Symbols" w:cs="Noto Sans Symbols"/>
    </w:rPr>
  </w:style>
  <w:style w:type="character" w:customStyle="1" w:styleId="ListLabel4">
    <w:name w:val="ListLabel 4"/>
    <w:rPr>
      <w:rFonts w:eastAsia="Noto Sans Symbols" w:cs="Noto Sans Symbols"/>
    </w:rPr>
  </w:style>
  <w:style w:type="character" w:customStyle="1" w:styleId="ListLabel5">
    <w:name w:val="ListLabel 5"/>
    <w:rPr>
      <w:rFonts w:eastAsia="Noto Sans Symbols" w:cs="Noto Sans Symbols"/>
    </w:rPr>
  </w:style>
  <w:style w:type="character" w:customStyle="1" w:styleId="ListLabel6">
    <w:name w:val="ListLabel 6"/>
    <w:rPr>
      <w:rFonts w:eastAsia="Noto Sans Symbols" w:cs="Noto Sans Symbols"/>
    </w:rPr>
  </w:style>
  <w:style w:type="character" w:customStyle="1" w:styleId="ListLabel7">
    <w:name w:val="ListLabel 7"/>
    <w:rPr>
      <w:rFonts w:eastAsia="Noto Sans Symbols" w:cs="Noto Sans Symbols"/>
    </w:rPr>
  </w:style>
  <w:style w:type="character" w:customStyle="1" w:styleId="ListLabel8">
    <w:name w:val="ListLabel 8"/>
    <w:rPr>
      <w:rFonts w:eastAsia="Noto Sans Symbols" w:cs="Noto Sans Symbols"/>
    </w:rPr>
  </w:style>
  <w:style w:type="character" w:customStyle="1" w:styleId="ListLabel9">
    <w:name w:val="ListLabel 9"/>
    <w:rPr>
      <w:rFonts w:eastAsia="Noto Sans Symbols" w:cs="Noto Sans Symbols"/>
    </w:rPr>
  </w:style>
  <w:style w:type="character" w:customStyle="1" w:styleId="ListLabel10">
    <w:name w:val="ListLabel 10"/>
    <w:rPr>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Internetlink">
    <w:name w:val="Internet link"/>
    <w:rPr>
      <w:color w:val="000080"/>
      <w:u w:val="single"/>
      <w:lang/>
    </w:rPr>
  </w:style>
  <w:style w:type="character" w:customStyle="1" w:styleId="IndexLink">
    <w:name w:val="Index Link"/>
  </w:style>
  <w:style w:type="character" w:customStyle="1" w:styleId="ListLabel28">
    <w:name w:val="ListLabel 28"/>
    <w:rPr>
      <w:color w:val="1155CC"/>
      <w:u w:val="single"/>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Semlista"/>
    <w:pPr>
      <w:numPr>
        <w:numId w:val="1"/>
      </w:numPr>
    </w:pPr>
  </w:style>
  <w:style w:type="numbering" w:customStyle="1" w:styleId="WWNum2">
    <w:name w:val="WWNum2"/>
    <w:basedOn w:val="Semlista"/>
    <w:pPr>
      <w:numPr>
        <w:numId w:val="2"/>
      </w:numPr>
    </w:pPr>
  </w:style>
  <w:style w:type="numbering" w:customStyle="1" w:styleId="WWNum3">
    <w:name w:val="WWNum3"/>
    <w:basedOn w:val="Semlista"/>
    <w:pPr>
      <w:numPr>
        <w:numId w:val="3"/>
      </w:numPr>
    </w:pPr>
  </w:style>
  <w:style w:type="numbering" w:customStyle="1" w:styleId="WWNum4">
    <w:name w:val="WWNum4"/>
    <w:basedOn w:val="Semlista"/>
    <w:pPr>
      <w:numPr>
        <w:numId w:val="4"/>
      </w:numPr>
    </w:pPr>
  </w:style>
  <w:style w:type="numbering" w:customStyle="1" w:styleId="WWNum5">
    <w:name w:val="WWNum5"/>
    <w:basedOn w:val="Semlista"/>
    <w:pPr>
      <w:numPr>
        <w:numId w:val="5"/>
      </w:numPr>
    </w:pPr>
  </w:style>
  <w:style w:type="numbering" w:customStyle="1" w:styleId="WWNum6">
    <w:name w:val="WWNum6"/>
    <w:basedOn w:val="Semlista"/>
    <w:pPr>
      <w:numPr>
        <w:numId w:val="6"/>
      </w:numPr>
    </w:pPr>
  </w:style>
  <w:style w:type="numbering" w:customStyle="1" w:styleId="WWNum7">
    <w:name w:val="WWNum7"/>
    <w:basedOn w:val="Semlista"/>
    <w:pPr>
      <w:numPr>
        <w:numId w:val="7"/>
      </w:numPr>
    </w:pPr>
  </w:style>
  <w:style w:type="character" w:styleId="Refdenotaderodap">
    <w:name w:val="footnote reference"/>
    <w:basedOn w:val="Fontepargpadro"/>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_30j0zll" TargetMode="External"/><Relationship Id="rId13" Type="http://schemas.openxmlformats.org/officeDocument/2006/relationships/hyperlink" Target="#_2s8eyo1"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_gjdgxs" TargetMode="External"/><Relationship Id="rId12" Type="http://schemas.openxmlformats.org/officeDocument/2006/relationships/hyperlink" Target="#_4d34og8"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ifsc.edu.br/linha-do-tempo"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_2et92p0" TargetMode="External"/><Relationship Id="rId5" Type="http://schemas.openxmlformats.org/officeDocument/2006/relationships/footnotes" Target="footnotes.xml"/><Relationship Id="rId15" Type="http://schemas.openxmlformats.org/officeDocument/2006/relationships/hyperlink" Target="https://www.ifsc.edu.br/historico" TargetMode="External"/><Relationship Id="rId23" Type="http://schemas.openxmlformats.org/officeDocument/2006/relationships/theme" Target="theme/theme1.xml"/><Relationship Id="rId10" Type="http://schemas.openxmlformats.org/officeDocument/2006/relationships/hyperlink" Target="#_3znysh7" TargetMode="External"/><Relationship Id="rId19" Type="http://schemas.openxmlformats.org/officeDocument/2006/relationships/hyperlink" Target="https://www.ifsc.edu.br/en/web/portal-do-servidor/processos" TargetMode="External"/><Relationship Id="rId4" Type="http://schemas.openxmlformats.org/officeDocument/2006/relationships/webSettings" Target="webSettings.xml"/><Relationship Id="rId9" Type="http://schemas.openxmlformats.org/officeDocument/2006/relationships/hyperlink" Target="#_1fob9te" TargetMode="Externa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2835</Words>
  <Characters>15315</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Andrade</dc:creator>
  <cp:lastModifiedBy>Felipe Andrade</cp:lastModifiedBy>
  <cp:revision>2</cp:revision>
  <dcterms:created xsi:type="dcterms:W3CDTF">2025-06-23T21:49:00Z</dcterms:created>
  <dcterms:modified xsi:type="dcterms:W3CDTF">2025-06-23T21:49:00Z</dcterms:modified>
</cp:coreProperties>
</file>