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B44E" w14:textId="77777777" w:rsidR="00A23DD7" w:rsidRDefault="00A23DD7">
      <w:pPr>
        <w:pStyle w:val="Standard"/>
      </w:pPr>
    </w:p>
    <w:p w14:paraId="39CAE483" w14:textId="77777777" w:rsidR="00A23DD7" w:rsidRDefault="00A23DD7">
      <w:pPr>
        <w:pStyle w:val="Standard"/>
      </w:pPr>
    </w:p>
    <w:p w14:paraId="37AD36B4" w14:textId="77777777" w:rsidR="00A23DD7" w:rsidRDefault="00A23DD7">
      <w:pPr>
        <w:pStyle w:val="Standard"/>
      </w:pPr>
    </w:p>
    <w:p w14:paraId="0B186B50" w14:textId="77777777" w:rsidR="00A23DD7" w:rsidRDefault="00A23DD7">
      <w:pPr>
        <w:pStyle w:val="Standard"/>
      </w:pPr>
    </w:p>
    <w:p w14:paraId="42D9A053" w14:textId="77777777" w:rsidR="00A23DD7" w:rsidRDefault="00A23DD7">
      <w:pPr>
        <w:pStyle w:val="Standard"/>
      </w:pPr>
    </w:p>
    <w:p w14:paraId="31E855D6" w14:textId="77777777" w:rsidR="00A23DD7" w:rsidRDefault="00A23DD7">
      <w:pPr>
        <w:pStyle w:val="Standard"/>
      </w:pPr>
    </w:p>
    <w:p w14:paraId="3931C9BC" w14:textId="77777777" w:rsidR="00A23DD7" w:rsidRDefault="00A23DD7">
      <w:pPr>
        <w:pStyle w:val="Standard"/>
      </w:pPr>
    </w:p>
    <w:p w14:paraId="461506B7" w14:textId="77777777" w:rsidR="00A23DD7" w:rsidRDefault="00A23DD7">
      <w:pPr>
        <w:pStyle w:val="Standard"/>
      </w:pPr>
    </w:p>
    <w:p w14:paraId="2FAF7705" w14:textId="77777777" w:rsidR="00A23DD7" w:rsidRDefault="00A23DD7">
      <w:pPr>
        <w:pStyle w:val="Standard"/>
      </w:pPr>
    </w:p>
    <w:p w14:paraId="7975BACD" w14:textId="77777777" w:rsidR="00A23DD7" w:rsidRDefault="00A23DD7">
      <w:pPr>
        <w:pStyle w:val="Standard"/>
      </w:pPr>
    </w:p>
    <w:p w14:paraId="348C4F52" w14:textId="77777777" w:rsidR="00A23DD7" w:rsidRDefault="00A23DD7">
      <w:pPr>
        <w:pStyle w:val="Standard"/>
      </w:pPr>
    </w:p>
    <w:p w14:paraId="05CBD895" w14:textId="77777777" w:rsidR="00A23DD7" w:rsidRDefault="00A23DD7">
      <w:pPr>
        <w:pStyle w:val="Standard"/>
      </w:pPr>
    </w:p>
    <w:p w14:paraId="78406CCB" w14:textId="77777777" w:rsidR="00A23DD7" w:rsidRDefault="00A23DD7">
      <w:pPr>
        <w:pStyle w:val="Standard"/>
      </w:pPr>
    </w:p>
    <w:p w14:paraId="5A9AAF71" w14:textId="77777777" w:rsidR="00A23DD7" w:rsidRDefault="00A23DD7">
      <w:pPr>
        <w:pStyle w:val="Standard"/>
      </w:pPr>
    </w:p>
    <w:p w14:paraId="7B495A17" w14:textId="77777777" w:rsidR="00A23DD7" w:rsidRDefault="00A23DD7">
      <w:pPr>
        <w:pStyle w:val="Standard"/>
      </w:pPr>
    </w:p>
    <w:p w14:paraId="48120E9B" w14:textId="77777777" w:rsidR="00A23DD7" w:rsidRDefault="00000000">
      <w:pPr>
        <w:pStyle w:val="Ttulo1"/>
        <w:numPr>
          <w:ilvl w:val="0"/>
          <w:numId w:val="12"/>
        </w:numPr>
      </w:pPr>
      <w:bookmarkStart w:id="0" w:name="_gjdgxs"/>
      <w:bookmarkEnd w:id="0"/>
      <w:r>
        <w:t>ORGANIZAÇÃO ADMINISTRATIVA</w:t>
      </w:r>
    </w:p>
    <w:p w14:paraId="77C719A9" w14:textId="77777777" w:rsidR="00A23DD7" w:rsidRDefault="00A23DD7">
      <w:pPr>
        <w:pStyle w:val="Standard"/>
        <w:tabs>
          <w:tab w:val="left" w:pos="850"/>
        </w:tabs>
        <w:spacing w:line="360" w:lineRule="auto"/>
        <w:jc w:val="center"/>
        <w:rPr>
          <w:b/>
          <w:smallCaps/>
          <w:color w:val="CE181E"/>
        </w:rPr>
      </w:pPr>
    </w:p>
    <w:p w14:paraId="2C3061EE" w14:textId="77777777" w:rsidR="00A23DD7" w:rsidRDefault="00A23DD7">
      <w:pPr>
        <w:pStyle w:val="Standard"/>
        <w:tabs>
          <w:tab w:val="left" w:pos="850"/>
        </w:tabs>
        <w:spacing w:line="360" w:lineRule="auto"/>
        <w:jc w:val="center"/>
        <w:rPr>
          <w:b/>
          <w:smallCaps/>
          <w:color w:val="006633"/>
        </w:rPr>
      </w:pPr>
    </w:p>
    <w:p w14:paraId="5729B2EA" w14:textId="77777777" w:rsidR="00A23DD7" w:rsidRDefault="00A23DD7">
      <w:pPr>
        <w:pStyle w:val="Standard"/>
        <w:tabs>
          <w:tab w:val="left" w:pos="850"/>
        </w:tabs>
        <w:spacing w:line="360" w:lineRule="auto"/>
        <w:jc w:val="center"/>
        <w:rPr>
          <w:b/>
          <w:smallCaps/>
          <w:color w:val="006633"/>
        </w:rPr>
      </w:pPr>
    </w:p>
    <w:p w14:paraId="75C19179" w14:textId="77777777" w:rsidR="00A23DD7" w:rsidRDefault="00A23DD7">
      <w:pPr>
        <w:pStyle w:val="Standard"/>
        <w:tabs>
          <w:tab w:val="left" w:pos="850"/>
        </w:tabs>
        <w:spacing w:line="360" w:lineRule="auto"/>
        <w:jc w:val="center"/>
        <w:rPr>
          <w:b/>
          <w:smallCaps/>
          <w:color w:val="006633"/>
        </w:rPr>
      </w:pPr>
    </w:p>
    <w:p w14:paraId="1DF6C053" w14:textId="77777777" w:rsidR="00A23DD7" w:rsidRDefault="00A23DD7">
      <w:pPr>
        <w:pStyle w:val="Standard"/>
        <w:tabs>
          <w:tab w:val="left" w:pos="850"/>
        </w:tabs>
        <w:spacing w:line="360" w:lineRule="auto"/>
        <w:jc w:val="center"/>
        <w:rPr>
          <w:b/>
          <w:smallCaps/>
          <w:color w:val="006633"/>
        </w:rPr>
      </w:pPr>
    </w:p>
    <w:p w14:paraId="1E3D0340" w14:textId="77777777" w:rsidR="00A23DD7" w:rsidRDefault="00A23DD7">
      <w:pPr>
        <w:pStyle w:val="Standard"/>
        <w:tabs>
          <w:tab w:val="left" w:pos="850"/>
        </w:tabs>
        <w:spacing w:line="360" w:lineRule="auto"/>
        <w:jc w:val="center"/>
        <w:rPr>
          <w:b/>
          <w:smallCaps/>
          <w:color w:val="006633"/>
        </w:rPr>
      </w:pPr>
    </w:p>
    <w:p w14:paraId="25B27296" w14:textId="77777777" w:rsidR="00A23DD7" w:rsidRDefault="00A23DD7">
      <w:pPr>
        <w:pStyle w:val="Standard"/>
        <w:tabs>
          <w:tab w:val="left" w:pos="850"/>
        </w:tabs>
        <w:spacing w:line="360" w:lineRule="auto"/>
        <w:jc w:val="center"/>
        <w:rPr>
          <w:b/>
          <w:smallCaps/>
          <w:color w:val="006633"/>
        </w:rPr>
      </w:pPr>
    </w:p>
    <w:p w14:paraId="49E2B125" w14:textId="77777777" w:rsidR="00A23DD7" w:rsidRDefault="00A23DD7">
      <w:pPr>
        <w:pStyle w:val="Standard"/>
        <w:tabs>
          <w:tab w:val="left" w:pos="850"/>
        </w:tabs>
        <w:spacing w:line="360" w:lineRule="auto"/>
        <w:jc w:val="center"/>
        <w:rPr>
          <w:b/>
          <w:smallCaps/>
          <w:color w:val="006633"/>
        </w:rPr>
      </w:pPr>
    </w:p>
    <w:p w14:paraId="18B2AB51" w14:textId="77777777" w:rsidR="00A23DD7" w:rsidRDefault="00A23DD7">
      <w:pPr>
        <w:pStyle w:val="Standard"/>
        <w:tabs>
          <w:tab w:val="left" w:pos="850"/>
        </w:tabs>
        <w:spacing w:line="360" w:lineRule="auto"/>
        <w:jc w:val="center"/>
        <w:rPr>
          <w:b/>
          <w:smallCaps/>
          <w:color w:val="006633"/>
        </w:rPr>
      </w:pPr>
    </w:p>
    <w:p w14:paraId="1962F1DC" w14:textId="77777777" w:rsidR="00A23DD7" w:rsidRDefault="00A23DD7">
      <w:pPr>
        <w:pStyle w:val="Standard"/>
        <w:tabs>
          <w:tab w:val="left" w:pos="850"/>
        </w:tabs>
        <w:spacing w:line="360" w:lineRule="auto"/>
        <w:jc w:val="center"/>
        <w:rPr>
          <w:b/>
          <w:smallCaps/>
          <w:color w:val="006633"/>
        </w:rPr>
      </w:pPr>
    </w:p>
    <w:p w14:paraId="03E53794" w14:textId="77777777" w:rsidR="00A23DD7" w:rsidRDefault="00A23DD7">
      <w:pPr>
        <w:pStyle w:val="Standard"/>
        <w:tabs>
          <w:tab w:val="left" w:pos="850"/>
        </w:tabs>
        <w:spacing w:line="360" w:lineRule="auto"/>
        <w:jc w:val="center"/>
        <w:rPr>
          <w:b/>
          <w:smallCaps/>
          <w:color w:val="006633"/>
        </w:rPr>
      </w:pPr>
    </w:p>
    <w:p w14:paraId="0B91D427" w14:textId="77777777" w:rsidR="00A23DD7" w:rsidRDefault="00A23DD7">
      <w:pPr>
        <w:pStyle w:val="Standard"/>
        <w:tabs>
          <w:tab w:val="left" w:pos="850"/>
        </w:tabs>
        <w:spacing w:line="360" w:lineRule="auto"/>
        <w:jc w:val="center"/>
        <w:rPr>
          <w:b/>
          <w:smallCaps/>
          <w:color w:val="006633"/>
        </w:rPr>
      </w:pPr>
    </w:p>
    <w:p w14:paraId="74849629" w14:textId="77777777" w:rsidR="00A23DD7" w:rsidRDefault="00A23DD7">
      <w:pPr>
        <w:pStyle w:val="Standard"/>
        <w:tabs>
          <w:tab w:val="left" w:pos="850"/>
        </w:tabs>
        <w:spacing w:line="360" w:lineRule="auto"/>
        <w:jc w:val="center"/>
        <w:rPr>
          <w:b/>
          <w:smallCaps/>
          <w:color w:val="006633"/>
        </w:rPr>
      </w:pPr>
    </w:p>
    <w:p w14:paraId="1D81935D" w14:textId="77777777" w:rsidR="00A23DD7" w:rsidRDefault="00A23DD7">
      <w:pPr>
        <w:pStyle w:val="Standard"/>
        <w:tabs>
          <w:tab w:val="left" w:pos="850"/>
        </w:tabs>
        <w:spacing w:line="360" w:lineRule="auto"/>
        <w:jc w:val="center"/>
        <w:rPr>
          <w:b/>
          <w:smallCaps/>
          <w:color w:val="006633"/>
        </w:rPr>
      </w:pPr>
    </w:p>
    <w:p w14:paraId="0EFF22FE" w14:textId="77777777" w:rsidR="00A23DD7" w:rsidRDefault="00A23DD7">
      <w:pPr>
        <w:pStyle w:val="Standard"/>
        <w:tabs>
          <w:tab w:val="left" w:pos="850"/>
        </w:tabs>
        <w:spacing w:line="360" w:lineRule="auto"/>
        <w:jc w:val="center"/>
        <w:rPr>
          <w:b/>
          <w:smallCaps/>
          <w:color w:val="006633"/>
        </w:rPr>
      </w:pPr>
    </w:p>
    <w:p w14:paraId="6CEE1355" w14:textId="77777777" w:rsidR="00A23DD7" w:rsidRDefault="00A23DD7">
      <w:pPr>
        <w:pStyle w:val="Standard"/>
        <w:tabs>
          <w:tab w:val="left" w:pos="850"/>
        </w:tabs>
        <w:spacing w:line="360" w:lineRule="auto"/>
        <w:jc w:val="center"/>
        <w:rPr>
          <w:b/>
          <w:smallCaps/>
          <w:color w:val="2B511A"/>
        </w:rPr>
      </w:pPr>
    </w:p>
    <w:p w14:paraId="04689267" w14:textId="77777777" w:rsidR="00A23DD7" w:rsidRDefault="00A23DD7">
      <w:pPr>
        <w:pStyle w:val="Standard"/>
        <w:tabs>
          <w:tab w:val="left" w:pos="850"/>
        </w:tabs>
        <w:spacing w:line="360" w:lineRule="auto"/>
        <w:jc w:val="center"/>
        <w:rPr>
          <w:b/>
          <w:smallCaps/>
          <w:color w:val="2B511A"/>
        </w:rPr>
      </w:pPr>
    </w:p>
    <w:p w14:paraId="3AC529E6" w14:textId="77777777" w:rsidR="00A23DD7" w:rsidRDefault="00A23DD7">
      <w:pPr>
        <w:pStyle w:val="Standard"/>
        <w:tabs>
          <w:tab w:val="left" w:pos="850"/>
        </w:tabs>
        <w:spacing w:line="360" w:lineRule="auto"/>
        <w:jc w:val="center"/>
        <w:rPr>
          <w:b/>
          <w:smallCaps/>
          <w:color w:val="2B511A"/>
        </w:rPr>
      </w:pPr>
    </w:p>
    <w:p w14:paraId="38E52409" w14:textId="77777777" w:rsidR="00A23DD7" w:rsidRDefault="00000000">
      <w:pPr>
        <w:pStyle w:val="Standard"/>
        <w:tabs>
          <w:tab w:val="left" w:pos="850"/>
        </w:tabs>
        <w:spacing w:line="360" w:lineRule="auto"/>
        <w:jc w:val="center"/>
        <w:rPr>
          <w:b/>
          <w:smallCaps/>
          <w:color w:val="2B511A"/>
        </w:rPr>
      </w:pPr>
      <w:r>
        <w:rPr>
          <w:b/>
          <w:smallCaps/>
          <w:color w:val="2B511A"/>
        </w:rPr>
        <w:t>SUMÁRIO</w:t>
      </w:r>
    </w:p>
    <w:p w14:paraId="49A4520C" w14:textId="77777777" w:rsidR="00A23DD7" w:rsidRDefault="00A23DD7">
      <w:pPr>
        <w:pStyle w:val="Standard"/>
        <w:tabs>
          <w:tab w:val="left" w:pos="850"/>
        </w:tabs>
        <w:spacing w:line="360" w:lineRule="auto"/>
        <w:ind w:right="275"/>
        <w:jc w:val="both"/>
      </w:pPr>
    </w:p>
    <w:p w14:paraId="3FEC7BF6" w14:textId="77777777" w:rsidR="00A23DD7" w:rsidRDefault="00000000">
      <w:pPr>
        <w:pStyle w:val="Standard"/>
        <w:tabs>
          <w:tab w:val="right" w:leader="dot" w:pos="12000"/>
        </w:tabs>
        <w:spacing w:before="60"/>
      </w:pPr>
      <w:r>
        <w:fldChar w:fldCharType="begin"/>
      </w:r>
      <w:r>
        <w:instrText xml:space="preserve"> TOC \o "1-9" \u \t "Título 1;1;Título 2;2;Título 3;3;Título 4;4;Título 5;5;Título 6;6" \h </w:instrText>
      </w:r>
      <w:r>
        <w:fldChar w:fldCharType="separate"/>
      </w:r>
      <w:hyperlink r:id="rId7" w:history="1">
        <w:r>
          <w:rPr>
            <w:rFonts w:ascii="Times New Roman" w:eastAsia="Times New Roman" w:hAnsi="Times New Roman" w:cs="Times New Roman"/>
            <w:color w:val="000000"/>
          </w:rPr>
          <w:t>CAPÍTULO 2 - ORGANIZAÇÃO ADMINISTRATIVA</w:t>
        </w:r>
        <w:r>
          <w:rPr>
            <w:rFonts w:ascii="Times New Roman" w:eastAsia="Times New Roman" w:hAnsi="Times New Roman" w:cs="Times New Roman"/>
            <w:color w:val="000000"/>
          </w:rPr>
          <w:tab/>
          <w:t>1</w:t>
        </w:r>
      </w:hyperlink>
    </w:p>
    <w:p w14:paraId="6E5C71E4" w14:textId="77777777" w:rsidR="00A23DD7" w:rsidRDefault="00000000">
      <w:pPr>
        <w:pStyle w:val="Standard"/>
        <w:tabs>
          <w:tab w:val="right" w:leader="dot" w:pos="12360"/>
        </w:tabs>
        <w:spacing w:before="60"/>
        <w:ind w:left="360"/>
      </w:pPr>
      <w:hyperlink r:id="rId8" w:history="1">
        <w:r>
          <w:rPr>
            <w:rFonts w:ascii="Times New Roman" w:eastAsia="Times New Roman" w:hAnsi="Times New Roman" w:cs="Times New Roman"/>
            <w:color w:val="000000"/>
          </w:rPr>
          <w:t>2.1  ESTRUTURA ORGANIZACIONAL E INSTÂNCIAS DE DECISÃO</w:t>
        </w:r>
        <w:r>
          <w:rPr>
            <w:rFonts w:ascii="Times New Roman" w:eastAsia="Times New Roman" w:hAnsi="Times New Roman" w:cs="Times New Roman"/>
            <w:color w:val="000000"/>
          </w:rPr>
          <w:tab/>
          <w:t>3</w:t>
        </w:r>
      </w:hyperlink>
    </w:p>
    <w:p w14:paraId="6B8A3CC0" w14:textId="77777777" w:rsidR="00A23DD7" w:rsidRDefault="00000000">
      <w:pPr>
        <w:pStyle w:val="Standard"/>
        <w:tabs>
          <w:tab w:val="right" w:leader="dot" w:pos="12360"/>
        </w:tabs>
        <w:spacing w:before="60"/>
        <w:ind w:left="360"/>
      </w:pPr>
      <w:hyperlink r:id="rId9" w:history="1">
        <w:r>
          <w:rPr>
            <w:rFonts w:ascii="Times New Roman" w:eastAsia="Times New Roman" w:hAnsi="Times New Roman" w:cs="Times New Roman"/>
            <w:color w:val="000000"/>
          </w:rPr>
          <w:t>2.2  ÓRGÃOS SUPERIORES DA ADMINISTRAÇÃO</w:t>
        </w:r>
        <w:r>
          <w:rPr>
            <w:rFonts w:ascii="Times New Roman" w:eastAsia="Times New Roman" w:hAnsi="Times New Roman" w:cs="Times New Roman"/>
            <w:color w:val="000000"/>
          </w:rPr>
          <w:tab/>
          <w:t>4</w:t>
        </w:r>
      </w:hyperlink>
    </w:p>
    <w:p w14:paraId="31497495" w14:textId="77777777" w:rsidR="00A23DD7" w:rsidRDefault="00000000">
      <w:pPr>
        <w:pStyle w:val="Standard"/>
        <w:tabs>
          <w:tab w:val="right" w:leader="dot" w:pos="12720"/>
        </w:tabs>
        <w:spacing w:before="60"/>
        <w:ind w:left="720"/>
      </w:pPr>
      <w:hyperlink r:id="rId10" w:history="1">
        <w:r>
          <w:rPr>
            <w:rFonts w:ascii="Times New Roman" w:eastAsia="Times New Roman" w:hAnsi="Times New Roman" w:cs="Times New Roman"/>
            <w:color w:val="000000"/>
          </w:rPr>
          <w:t>2.2.1  Conselho Superior (Consup)</w:t>
        </w:r>
        <w:r>
          <w:rPr>
            <w:rFonts w:ascii="Times New Roman" w:eastAsia="Times New Roman" w:hAnsi="Times New Roman" w:cs="Times New Roman"/>
            <w:color w:val="000000"/>
          </w:rPr>
          <w:tab/>
          <w:t>4</w:t>
        </w:r>
      </w:hyperlink>
    </w:p>
    <w:p w14:paraId="6A0A4215" w14:textId="77777777" w:rsidR="00A23DD7" w:rsidRDefault="00000000">
      <w:pPr>
        <w:pStyle w:val="Standard"/>
        <w:tabs>
          <w:tab w:val="right" w:leader="dot" w:pos="12720"/>
        </w:tabs>
        <w:spacing w:before="60"/>
        <w:ind w:left="720"/>
      </w:pPr>
      <w:hyperlink r:id="rId11" w:history="1">
        <w:r>
          <w:rPr>
            <w:rFonts w:ascii="Times New Roman" w:eastAsia="Times New Roman" w:hAnsi="Times New Roman" w:cs="Times New Roman"/>
            <w:color w:val="000000"/>
          </w:rPr>
          <w:t>2.2.2  Colégio de Dirigentes (Codir)</w:t>
        </w:r>
        <w:r>
          <w:rPr>
            <w:rFonts w:ascii="Times New Roman" w:eastAsia="Times New Roman" w:hAnsi="Times New Roman" w:cs="Times New Roman"/>
            <w:color w:val="000000"/>
          </w:rPr>
          <w:tab/>
          <w:t>4</w:t>
        </w:r>
      </w:hyperlink>
    </w:p>
    <w:p w14:paraId="2696042F" w14:textId="77777777" w:rsidR="00A23DD7" w:rsidRDefault="00000000">
      <w:pPr>
        <w:pStyle w:val="Standard"/>
        <w:tabs>
          <w:tab w:val="right" w:leader="dot" w:pos="12360"/>
        </w:tabs>
        <w:spacing w:before="60"/>
        <w:ind w:left="360"/>
      </w:pPr>
      <w:hyperlink r:id="rId12" w:history="1">
        <w:r>
          <w:rPr>
            <w:rFonts w:ascii="Times New Roman" w:eastAsia="Times New Roman" w:hAnsi="Times New Roman" w:cs="Times New Roman"/>
            <w:color w:val="000000"/>
          </w:rPr>
          <w:t>2.3  ÓRGÃO EXECUTIVO E DE ADMINISTRAÇÃO GERAL – REITORIA</w:t>
        </w:r>
        <w:r>
          <w:rPr>
            <w:rFonts w:ascii="Times New Roman" w:eastAsia="Times New Roman" w:hAnsi="Times New Roman" w:cs="Times New Roman"/>
            <w:color w:val="000000"/>
          </w:rPr>
          <w:tab/>
          <w:t>5</w:t>
        </w:r>
      </w:hyperlink>
    </w:p>
    <w:p w14:paraId="642B4FC5" w14:textId="77777777" w:rsidR="00A23DD7" w:rsidRDefault="00000000">
      <w:pPr>
        <w:pStyle w:val="Standard"/>
        <w:tabs>
          <w:tab w:val="right" w:leader="dot" w:pos="12720"/>
        </w:tabs>
        <w:spacing w:before="60"/>
        <w:ind w:left="720"/>
      </w:pPr>
      <w:hyperlink r:id="rId13" w:history="1">
        <w:r>
          <w:rPr>
            <w:rFonts w:ascii="Times New Roman" w:eastAsia="Times New Roman" w:hAnsi="Times New Roman" w:cs="Times New Roman"/>
            <w:color w:val="000000"/>
          </w:rPr>
          <w:t>2.3.1  Gabinete do reitor</w:t>
        </w:r>
        <w:r>
          <w:rPr>
            <w:rFonts w:ascii="Times New Roman" w:eastAsia="Times New Roman" w:hAnsi="Times New Roman" w:cs="Times New Roman"/>
            <w:color w:val="000000"/>
          </w:rPr>
          <w:tab/>
          <w:t>6</w:t>
        </w:r>
      </w:hyperlink>
    </w:p>
    <w:p w14:paraId="6CA02A74" w14:textId="77777777" w:rsidR="00A23DD7" w:rsidRDefault="00000000">
      <w:pPr>
        <w:pStyle w:val="Standard"/>
        <w:tabs>
          <w:tab w:val="right" w:leader="dot" w:pos="12720"/>
        </w:tabs>
        <w:spacing w:before="60"/>
        <w:ind w:left="720"/>
      </w:pPr>
      <w:hyperlink r:id="rId14" w:history="1">
        <w:r>
          <w:rPr>
            <w:rFonts w:ascii="Times New Roman" w:eastAsia="Times New Roman" w:hAnsi="Times New Roman" w:cs="Times New Roman"/>
            <w:color w:val="000000"/>
          </w:rPr>
          <w:t>2.3.2  Pró-reitorias</w:t>
        </w:r>
        <w:r>
          <w:rPr>
            <w:rFonts w:ascii="Times New Roman" w:eastAsia="Times New Roman" w:hAnsi="Times New Roman" w:cs="Times New Roman"/>
            <w:color w:val="000000"/>
          </w:rPr>
          <w:tab/>
          <w:t>7</w:t>
        </w:r>
      </w:hyperlink>
    </w:p>
    <w:p w14:paraId="5789A7F0" w14:textId="77777777" w:rsidR="00A23DD7" w:rsidRDefault="00000000">
      <w:pPr>
        <w:pStyle w:val="Standard"/>
        <w:tabs>
          <w:tab w:val="right" w:leader="dot" w:pos="12360"/>
        </w:tabs>
        <w:spacing w:before="60"/>
        <w:ind w:left="360"/>
      </w:pPr>
      <w:hyperlink r:id="rId15" w:history="1">
        <w:r>
          <w:rPr>
            <w:rFonts w:ascii="Times New Roman" w:eastAsia="Times New Roman" w:hAnsi="Times New Roman" w:cs="Times New Roman"/>
            <w:color w:val="000000"/>
          </w:rPr>
          <w:t>2.4  ÓRGÃOS DE ASSESSORAMENTO</w:t>
        </w:r>
        <w:r>
          <w:rPr>
            <w:rFonts w:ascii="Times New Roman" w:eastAsia="Times New Roman" w:hAnsi="Times New Roman" w:cs="Times New Roman"/>
            <w:color w:val="000000"/>
          </w:rPr>
          <w:tab/>
          <w:t>10</w:t>
        </w:r>
      </w:hyperlink>
    </w:p>
    <w:p w14:paraId="56FC8F82" w14:textId="77777777" w:rsidR="00A23DD7" w:rsidRDefault="00000000">
      <w:pPr>
        <w:pStyle w:val="Standard"/>
        <w:tabs>
          <w:tab w:val="right" w:leader="dot" w:pos="12720"/>
        </w:tabs>
        <w:spacing w:before="60"/>
        <w:ind w:left="720"/>
      </w:pPr>
      <w:hyperlink r:id="rId16" w:history="1">
        <w:r>
          <w:rPr>
            <w:rFonts w:ascii="Times New Roman" w:eastAsia="Times New Roman" w:hAnsi="Times New Roman" w:cs="Times New Roman"/>
            <w:color w:val="000000"/>
          </w:rPr>
          <w:t>2.4.1  Colegiado de Desenvolvimento de Pessoas (CDP)</w:t>
        </w:r>
        <w:r>
          <w:rPr>
            <w:rFonts w:ascii="Times New Roman" w:eastAsia="Times New Roman" w:hAnsi="Times New Roman" w:cs="Times New Roman"/>
            <w:color w:val="000000"/>
          </w:rPr>
          <w:tab/>
          <w:t>10</w:t>
        </w:r>
      </w:hyperlink>
    </w:p>
    <w:p w14:paraId="321A4897" w14:textId="77777777" w:rsidR="00A23DD7" w:rsidRDefault="00000000">
      <w:pPr>
        <w:pStyle w:val="Standard"/>
        <w:tabs>
          <w:tab w:val="right" w:leader="dot" w:pos="12720"/>
        </w:tabs>
        <w:spacing w:before="60"/>
        <w:ind w:left="720"/>
      </w:pPr>
      <w:hyperlink r:id="rId17" w:history="1">
        <w:r>
          <w:rPr>
            <w:rFonts w:ascii="Times New Roman" w:eastAsia="Times New Roman" w:hAnsi="Times New Roman" w:cs="Times New Roman"/>
            <w:color w:val="000000"/>
          </w:rPr>
          <w:t>2.4.2  Colegiado de Ensino, Pesquisa e Extensão (Cepe)</w:t>
        </w:r>
        <w:r>
          <w:rPr>
            <w:rFonts w:ascii="Times New Roman" w:eastAsia="Times New Roman" w:hAnsi="Times New Roman" w:cs="Times New Roman"/>
            <w:color w:val="000000"/>
          </w:rPr>
          <w:tab/>
          <w:t>10</w:t>
        </w:r>
      </w:hyperlink>
    </w:p>
    <w:p w14:paraId="355FA4F1" w14:textId="77777777" w:rsidR="00A23DD7" w:rsidRDefault="00000000">
      <w:pPr>
        <w:pStyle w:val="Standard"/>
        <w:tabs>
          <w:tab w:val="right" w:leader="dot" w:pos="12720"/>
        </w:tabs>
        <w:spacing w:before="60"/>
        <w:ind w:left="720"/>
      </w:pPr>
      <w:hyperlink r:id="rId18" w:history="1">
        <w:r>
          <w:rPr>
            <w:rFonts w:ascii="Times New Roman" w:eastAsia="Times New Roman" w:hAnsi="Times New Roman" w:cs="Times New Roman"/>
            <w:color w:val="000000"/>
          </w:rPr>
          <w:t>2.4.3  Comissão Própria de Avaliação (CPA)</w:t>
        </w:r>
        <w:r>
          <w:rPr>
            <w:rFonts w:ascii="Times New Roman" w:eastAsia="Times New Roman" w:hAnsi="Times New Roman" w:cs="Times New Roman"/>
            <w:color w:val="000000"/>
          </w:rPr>
          <w:tab/>
          <w:t>10</w:t>
        </w:r>
      </w:hyperlink>
    </w:p>
    <w:p w14:paraId="31479475" w14:textId="77777777" w:rsidR="00A23DD7" w:rsidRDefault="00000000">
      <w:pPr>
        <w:pStyle w:val="Standard"/>
        <w:tabs>
          <w:tab w:val="right" w:leader="dot" w:pos="12720"/>
        </w:tabs>
        <w:spacing w:before="60"/>
        <w:ind w:left="720"/>
      </w:pPr>
      <w:hyperlink r:id="rId19" w:history="1">
        <w:r>
          <w:rPr>
            <w:rFonts w:ascii="Times New Roman" w:eastAsia="Times New Roman" w:hAnsi="Times New Roman" w:cs="Times New Roman"/>
            <w:color w:val="000000"/>
          </w:rPr>
          <w:t>2.4.4  Outros órgãos de assessoramento</w:t>
        </w:r>
        <w:r>
          <w:rPr>
            <w:rFonts w:ascii="Times New Roman" w:eastAsia="Times New Roman" w:hAnsi="Times New Roman" w:cs="Times New Roman"/>
            <w:color w:val="000000"/>
          </w:rPr>
          <w:tab/>
          <w:t>11</w:t>
        </w:r>
      </w:hyperlink>
    </w:p>
    <w:p w14:paraId="22171D5B" w14:textId="77777777" w:rsidR="00A23DD7" w:rsidRDefault="00000000">
      <w:pPr>
        <w:pStyle w:val="Standard"/>
        <w:tabs>
          <w:tab w:val="right" w:leader="dot" w:pos="12360"/>
        </w:tabs>
        <w:spacing w:before="60"/>
        <w:ind w:left="360"/>
      </w:pPr>
      <w:hyperlink r:id="rId20" w:history="1">
        <w:r>
          <w:rPr>
            <w:rFonts w:ascii="Times New Roman" w:eastAsia="Times New Roman" w:hAnsi="Times New Roman" w:cs="Times New Roman"/>
            <w:color w:val="000000"/>
          </w:rPr>
          <w:t>2.5  ÓRGÃO DE CONTROLE – AUDITORIA INTERNA GOVERNAMENTAL</w:t>
        </w:r>
        <w:r>
          <w:rPr>
            <w:rFonts w:ascii="Times New Roman" w:eastAsia="Times New Roman" w:hAnsi="Times New Roman" w:cs="Times New Roman"/>
            <w:color w:val="000000"/>
          </w:rPr>
          <w:tab/>
          <w:t>11</w:t>
        </w:r>
      </w:hyperlink>
    </w:p>
    <w:p w14:paraId="6BCDDF28" w14:textId="77777777" w:rsidR="00A23DD7" w:rsidRDefault="00000000">
      <w:pPr>
        <w:pStyle w:val="Standard"/>
        <w:tabs>
          <w:tab w:val="right" w:leader="dot" w:pos="12360"/>
        </w:tabs>
        <w:spacing w:before="60"/>
        <w:ind w:left="360"/>
      </w:pPr>
      <w:hyperlink r:id="rId21" w:history="1">
        <w:r>
          <w:rPr>
            <w:rFonts w:ascii="Times New Roman" w:eastAsia="Times New Roman" w:hAnsi="Times New Roman" w:cs="Times New Roman"/>
            <w:color w:val="000000"/>
          </w:rPr>
          <w:t>2.6  PROCURADORIA FEDERAL JUNTO AO IFSC</w:t>
        </w:r>
        <w:r>
          <w:rPr>
            <w:rFonts w:ascii="Times New Roman" w:eastAsia="Times New Roman" w:hAnsi="Times New Roman" w:cs="Times New Roman"/>
            <w:color w:val="000000"/>
          </w:rPr>
          <w:tab/>
          <w:t>11</w:t>
        </w:r>
      </w:hyperlink>
    </w:p>
    <w:p w14:paraId="53F6FD16" w14:textId="77777777" w:rsidR="00A23DD7" w:rsidRDefault="00000000">
      <w:pPr>
        <w:pStyle w:val="Standard"/>
        <w:tabs>
          <w:tab w:val="right" w:leader="dot" w:pos="12360"/>
        </w:tabs>
        <w:spacing w:before="60"/>
        <w:ind w:left="360"/>
      </w:pPr>
      <w:hyperlink r:id="rId22" w:history="1">
        <w:r>
          <w:rPr>
            <w:rFonts w:ascii="Times New Roman" w:eastAsia="Times New Roman" w:hAnsi="Times New Roman" w:cs="Times New Roman"/>
            <w:color w:val="000000"/>
          </w:rPr>
          <w:t>2.7  ÓRGÃOS DE ATIVIDADES FINALÍSTICAS</w:t>
        </w:r>
        <w:r>
          <w:rPr>
            <w:rFonts w:ascii="Times New Roman" w:eastAsia="Times New Roman" w:hAnsi="Times New Roman" w:cs="Times New Roman"/>
            <w:color w:val="000000"/>
          </w:rPr>
          <w:tab/>
          <w:t>12</w:t>
        </w:r>
      </w:hyperlink>
    </w:p>
    <w:p w14:paraId="45582310" w14:textId="77777777" w:rsidR="00A23DD7" w:rsidRDefault="00000000">
      <w:pPr>
        <w:pStyle w:val="Standard"/>
        <w:tabs>
          <w:tab w:val="right" w:leader="dot" w:pos="12720"/>
        </w:tabs>
        <w:spacing w:before="60"/>
        <w:ind w:left="720"/>
      </w:pPr>
      <w:hyperlink r:id="rId23" w:history="1">
        <w:r>
          <w:rPr>
            <w:rFonts w:ascii="Times New Roman" w:eastAsia="Times New Roman" w:hAnsi="Times New Roman" w:cs="Times New Roman"/>
            <w:color w:val="000000"/>
          </w:rPr>
          <w:t>2.7.1  Câmpus</w:t>
        </w:r>
        <w:r>
          <w:rPr>
            <w:rFonts w:ascii="Times New Roman" w:eastAsia="Times New Roman" w:hAnsi="Times New Roman" w:cs="Times New Roman"/>
            <w:color w:val="000000"/>
          </w:rPr>
          <w:tab/>
          <w:t>12</w:t>
        </w:r>
      </w:hyperlink>
    </w:p>
    <w:p w14:paraId="6145F022" w14:textId="77777777" w:rsidR="00A23DD7" w:rsidRDefault="00000000">
      <w:pPr>
        <w:pStyle w:val="Standard"/>
        <w:tabs>
          <w:tab w:val="right" w:leader="dot" w:pos="12720"/>
        </w:tabs>
        <w:spacing w:before="60"/>
        <w:ind w:left="720"/>
      </w:pPr>
      <w:hyperlink r:id="rId24" w:history="1">
        <w:r>
          <w:rPr>
            <w:rFonts w:ascii="Times New Roman" w:eastAsia="Times New Roman" w:hAnsi="Times New Roman" w:cs="Times New Roman"/>
            <w:color w:val="000000"/>
          </w:rPr>
          <w:t>2.7.2  Centro de Referência em Formação e Educação a Distância</w:t>
        </w:r>
        <w:r>
          <w:rPr>
            <w:rFonts w:ascii="Times New Roman" w:eastAsia="Times New Roman" w:hAnsi="Times New Roman" w:cs="Times New Roman"/>
            <w:color w:val="000000"/>
          </w:rPr>
          <w:tab/>
          <w:t>13</w:t>
        </w:r>
      </w:hyperlink>
    </w:p>
    <w:p w14:paraId="531A2197" w14:textId="77777777" w:rsidR="00A23DD7" w:rsidRDefault="00000000">
      <w:pPr>
        <w:pStyle w:val="Standard"/>
        <w:tabs>
          <w:tab w:val="right" w:leader="dot" w:pos="12360"/>
        </w:tabs>
        <w:spacing w:before="60"/>
        <w:ind w:left="360"/>
      </w:pPr>
      <w:hyperlink r:id="rId25" w:history="1">
        <w:r>
          <w:rPr>
            <w:rFonts w:ascii="Times New Roman" w:eastAsia="Times New Roman" w:hAnsi="Times New Roman" w:cs="Times New Roman"/>
            <w:color w:val="000000"/>
          </w:rPr>
          <w:t>2.8  ÓRGÃO DE ASSESSORAMENTO DAS DIRETORIAS-GERAIS – COLEGIADOS DOS CÂMPUS</w:t>
        </w:r>
        <w:r>
          <w:rPr>
            <w:rFonts w:ascii="Times New Roman" w:eastAsia="Times New Roman" w:hAnsi="Times New Roman" w:cs="Times New Roman"/>
            <w:color w:val="000000"/>
          </w:rPr>
          <w:tab/>
          <w:t>14</w:t>
        </w:r>
      </w:hyperlink>
    </w:p>
    <w:p w14:paraId="2C878482" w14:textId="77777777" w:rsidR="00A23DD7" w:rsidRDefault="00000000">
      <w:pPr>
        <w:pStyle w:val="Standard"/>
        <w:tabs>
          <w:tab w:val="right" w:leader="dot" w:pos="12360"/>
        </w:tabs>
        <w:spacing w:before="60"/>
        <w:ind w:left="360"/>
      </w:pPr>
      <w:hyperlink r:id="rId26" w:history="1">
        <w:r>
          <w:rPr>
            <w:rFonts w:ascii="Times New Roman" w:eastAsia="Times New Roman" w:hAnsi="Times New Roman" w:cs="Times New Roman"/>
            <w:color w:val="000000"/>
          </w:rPr>
          <w:t>2.9  POLO DE INOVAÇÃO</w:t>
        </w:r>
        <w:r>
          <w:rPr>
            <w:rFonts w:ascii="Times New Roman" w:eastAsia="Times New Roman" w:hAnsi="Times New Roman" w:cs="Times New Roman"/>
            <w:color w:val="000000"/>
          </w:rPr>
          <w:tab/>
          <w:t>14</w:t>
        </w:r>
      </w:hyperlink>
    </w:p>
    <w:p w14:paraId="65F34338" w14:textId="77777777" w:rsidR="00A23DD7" w:rsidRDefault="00000000">
      <w:pPr>
        <w:pStyle w:val="Standard"/>
        <w:tabs>
          <w:tab w:val="right" w:leader="dot" w:pos="12360"/>
        </w:tabs>
        <w:spacing w:before="60"/>
        <w:ind w:left="360"/>
      </w:pPr>
      <w:hyperlink r:id="rId27" w:history="1">
        <w:r>
          <w:rPr>
            <w:rFonts w:ascii="Times New Roman" w:eastAsia="Times New Roman" w:hAnsi="Times New Roman" w:cs="Times New Roman"/>
            <w:color w:val="000000"/>
          </w:rPr>
          <w:t>2.10  POLÍTICAS DE GESTÃO</w:t>
        </w:r>
        <w:r>
          <w:rPr>
            <w:rFonts w:ascii="Times New Roman" w:eastAsia="Times New Roman" w:hAnsi="Times New Roman" w:cs="Times New Roman"/>
            <w:color w:val="000000"/>
          </w:rPr>
          <w:tab/>
          <w:t>15</w:t>
        </w:r>
      </w:hyperlink>
    </w:p>
    <w:p w14:paraId="4066ACEF" w14:textId="77777777" w:rsidR="00A23DD7" w:rsidRDefault="00000000">
      <w:pPr>
        <w:pStyle w:val="Standard"/>
        <w:tabs>
          <w:tab w:val="left" w:pos="850"/>
        </w:tabs>
        <w:spacing w:line="360" w:lineRule="auto"/>
        <w:ind w:right="275" w:firstLine="709"/>
        <w:jc w:val="both"/>
        <w:rPr>
          <w:rFonts w:ascii="Times New Roman" w:eastAsia="Times New Roman" w:hAnsi="Times New Roman" w:cs="Times New Roman"/>
          <w:b/>
          <w:smallCaps/>
          <w:color w:val="006633"/>
        </w:rPr>
      </w:pPr>
      <w:r>
        <w:fldChar w:fldCharType="end"/>
      </w:r>
    </w:p>
    <w:p w14:paraId="3E0534C0" w14:textId="77777777" w:rsidR="00A23DD7" w:rsidRDefault="00A23DD7">
      <w:pPr>
        <w:pStyle w:val="Standard"/>
        <w:tabs>
          <w:tab w:val="left" w:pos="850"/>
        </w:tabs>
        <w:spacing w:line="360" w:lineRule="auto"/>
        <w:ind w:firstLine="709"/>
        <w:jc w:val="both"/>
        <w:rPr>
          <w:rFonts w:ascii="Times New Roman" w:eastAsia="Times New Roman" w:hAnsi="Times New Roman" w:cs="Times New Roman"/>
          <w:color w:val="000000"/>
        </w:rPr>
      </w:pPr>
    </w:p>
    <w:p w14:paraId="68C5811D" w14:textId="77777777" w:rsidR="00A23DD7" w:rsidRDefault="00000000">
      <w:pPr>
        <w:pStyle w:val="Standard"/>
        <w:spacing w:line="360" w:lineRule="auto"/>
        <w:rPr>
          <w:b/>
        </w:rPr>
      </w:pPr>
      <w:r>
        <w:rPr>
          <w:b/>
        </w:rPr>
        <w:t>Comissão Temática de Organização Administrativa</w:t>
      </w:r>
    </w:p>
    <w:p w14:paraId="7BF72DCB" w14:textId="77777777" w:rsidR="00A23DD7" w:rsidRDefault="00000000">
      <w:pPr>
        <w:pStyle w:val="Standard"/>
        <w:spacing w:line="360" w:lineRule="auto"/>
      </w:pPr>
      <w:r>
        <w:t>OIZES VIEIRA MENDES - Diretor de Gestão do Conhecimento - Presidente</w:t>
      </w:r>
    </w:p>
    <w:p w14:paraId="54A4B30A" w14:textId="77777777" w:rsidR="00A23DD7" w:rsidRDefault="00000000">
      <w:pPr>
        <w:pStyle w:val="Standard"/>
        <w:spacing w:line="360" w:lineRule="auto"/>
      </w:pPr>
      <w:r>
        <w:t>VANESSA DE OLIVEIRA MORAES - Coordenadora de Processos e Riscos</w:t>
      </w:r>
    </w:p>
    <w:p w14:paraId="4D756EDC" w14:textId="77777777" w:rsidR="00A23DD7" w:rsidRDefault="00000000">
      <w:pPr>
        <w:pStyle w:val="Standard"/>
        <w:spacing w:line="360" w:lineRule="auto"/>
      </w:pPr>
      <w:r>
        <w:t>LUIZ ROBERTO CIDRAL - Coordenadoria de Processos e Riscos</w:t>
      </w:r>
    </w:p>
    <w:p w14:paraId="2D2ABACD" w14:textId="77777777" w:rsidR="00A23DD7" w:rsidRDefault="00000000">
      <w:pPr>
        <w:pStyle w:val="Ttulo2"/>
        <w:pageBreakBefore/>
        <w:numPr>
          <w:ilvl w:val="1"/>
          <w:numId w:val="1"/>
        </w:numPr>
        <w:ind w:left="0" w:firstLine="0"/>
      </w:pPr>
      <w:bookmarkStart w:id="1" w:name="_30j0zll"/>
      <w:bookmarkEnd w:id="1"/>
      <w:r>
        <w:lastRenderedPageBreak/>
        <w:t>ESTRUTURA ORGANIZACIONAL E INSTÂNCIAS DE DECISÃO</w:t>
      </w:r>
    </w:p>
    <w:p w14:paraId="5B4D0BE2" w14:textId="77777777" w:rsidR="00A23DD7" w:rsidRDefault="00000000">
      <w:pPr>
        <w:pStyle w:val="Standard"/>
        <w:spacing w:after="57" w:line="360" w:lineRule="auto"/>
        <w:jc w:val="both"/>
      </w:pPr>
      <w:r>
        <w:rPr>
          <w:rFonts w:ascii="Times New Roman" w:eastAsia="Times New Roman" w:hAnsi="Times New Roman" w:cs="Times New Roman"/>
          <w:color w:val="000000"/>
        </w:rPr>
        <w:tab/>
        <w:t>O Instituto Federal de Santa Catarina (IFSC) é uma instituição pública federal vinculada ao Ministério da Educação (MEC) por meio da Secretaria de Educação Profissional e Tecnológica do Ministério da Educação (</w:t>
      </w:r>
      <w:proofErr w:type="spellStart"/>
      <w:r>
        <w:rPr>
          <w:rFonts w:ascii="Times New Roman" w:eastAsia="Times New Roman" w:hAnsi="Times New Roman" w:cs="Times New Roman"/>
          <w:color w:val="000000"/>
        </w:rPr>
        <w:t>Setec</w:t>
      </w:r>
      <w:proofErr w:type="spellEnd"/>
      <w:r>
        <w:rPr>
          <w:rFonts w:ascii="Times New Roman" w:eastAsia="Times New Roman" w:hAnsi="Times New Roman" w:cs="Times New Roman"/>
          <w:color w:val="000000"/>
        </w:rPr>
        <w:t xml:space="preserve">). Tem autonomia administrativa, </w:t>
      </w:r>
      <w:r>
        <w:t>p</w:t>
      </w:r>
      <w:r>
        <w:rPr>
          <w:rFonts w:ascii="Times New Roman" w:eastAsia="Times New Roman" w:hAnsi="Times New Roman" w:cs="Times New Roman"/>
          <w:color w:val="000000"/>
        </w:rPr>
        <w:t xml:space="preserve">atrimonial, financeira, didático-pedagógica e disciplinar. É organizado em estrutura </w:t>
      </w:r>
      <w:proofErr w:type="spellStart"/>
      <w:r>
        <w:rPr>
          <w:rFonts w:ascii="Times New Roman" w:eastAsia="Times New Roman" w:hAnsi="Times New Roman" w:cs="Times New Roman"/>
          <w:color w:val="000000"/>
        </w:rPr>
        <w:t>multicâmpus</w:t>
      </w:r>
      <w:proofErr w:type="spellEnd"/>
      <w:r>
        <w:rPr>
          <w:rFonts w:ascii="Times New Roman" w:eastAsia="Times New Roman" w:hAnsi="Times New Roman" w:cs="Times New Roman"/>
          <w:color w:val="000000"/>
        </w:rPr>
        <w:t xml:space="preserve">, formada por: </w:t>
      </w:r>
      <w:r>
        <w:t>Reitor</w:t>
      </w:r>
      <w:r>
        <w:rPr>
          <w:rFonts w:ascii="Times New Roman" w:eastAsia="Times New Roman" w:hAnsi="Times New Roman" w:cs="Times New Roman"/>
          <w:color w:val="000000"/>
        </w:rPr>
        <w:t xml:space="preserve">ia, Câmpus, Câmpus Avançado, Centro de Referência e Polo de Inovação. </w:t>
      </w:r>
      <w:hyperlink r:id="rId28" w:history="1">
        <w:r>
          <w:rPr>
            <w:rFonts w:ascii="Times New Roman" w:eastAsia="Times New Roman" w:hAnsi="Times New Roman" w:cs="Times New Roman"/>
            <w:color w:val="1155CC"/>
            <w:u w:val="single"/>
          </w:rPr>
          <w:t>Para conhecer um pouco mais sobre a estrutura organizacional do IFSC clique aqui.</w:t>
        </w:r>
      </w:hyperlink>
    </w:p>
    <w:p w14:paraId="35CDCCE5" w14:textId="77777777" w:rsidR="00A23DD7" w:rsidRDefault="00000000">
      <w:pPr>
        <w:pStyle w:val="Standard"/>
        <w:spacing w:after="57"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Sua macroestrutura organizacional é composta por:</w:t>
      </w:r>
    </w:p>
    <w:p w14:paraId="333A4755" w14:textId="77777777" w:rsidR="00A23DD7" w:rsidRDefault="00000000">
      <w:pPr>
        <w:pStyle w:val="Standard"/>
        <w:numPr>
          <w:ilvl w:val="0"/>
          <w:numId w:val="13"/>
        </w:numPr>
        <w:spacing w:before="170" w:after="57" w:line="360" w:lineRule="auto"/>
        <w:ind w:hanging="174"/>
        <w:jc w:val="both"/>
        <w:rPr>
          <w:b/>
        </w:rPr>
      </w:pPr>
      <w:r>
        <w:rPr>
          <w:b/>
        </w:rPr>
        <w:t>Órgãos Superiores da Administração</w:t>
      </w:r>
    </w:p>
    <w:p w14:paraId="5DCF4F0F" w14:textId="77777777" w:rsidR="00A23DD7" w:rsidRDefault="00000000">
      <w:pPr>
        <w:pStyle w:val="Standard"/>
        <w:numPr>
          <w:ilvl w:val="0"/>
          <w:numId w:val="14"/>
        </w:numPr>
        <w:spacing w:line="360" w:lineRule="auto"/>
        <w:jc w:val="both"/>
      </w:pPr>
      <w:r>
        <w:t>Conselho Superior (</w:t>
      </w:r>
      <w:proofErr w:type="spellStart"/>
      <w:r>
        <w:t>Consup</w:t>
      </w:r>
      <w:proofErr w:type="spellEnd"/>
      <w:r>
        <w:t>), de caráter deliberativo e consultivo;</w:t>
      </w:r>
    </w:p>
    <w:p w14:paraId="7518E1B7" w14:textId="77777777" w:rsidR="00A23DD7" w:rsidRDefault="00000000">
      <w:pPr>
        <w:pStyle w:val="Standard"/>
        <w:numPr>
          <w:ilvl w:val="0"/>
          <w:numId w:val="4"/>
        </w:numPr>
        <w:spacing w:line="360" w:lineRule="auto"/>
        <w:jc w:val="both"/>
      </w:pPr>
      <w:r>
        <w:t>Colégio de Dirigentes (</w:t>
      </w:r>
      <w:proofErr w:type="spellStart"/>
      <w:r>
        <w:t>Codir</w:t>
      </w:r>
      <w:proofErr w:type="spellEnd"/>
      <w:r>
        <w:t>), de caráter consultivo.</w:t>
      </w:r>
    </w:p>
    <w:p w14:paraId="56981F91" w14:textId="77777777" w:rsidR="00A23DD7" w:rsidRDefault="00000000">
      <w:pPr>
        <w:pStyle w:val="Standard"/>
        <w:numPr>
          <w:ilvl w:val="0"/>
          <w:numId w:val="5"/>
        </w:numPr>
        <w:spacing w:before="170" w:after="57" w:line="360" w:lineRule="auto"/>
        <w:ind w:hanging="174"/>
        <w:jc w:val="both"/>
        <w:rPr>
          <w:b/>
        </w:rPr>
      </w:pPr>
      <w:r>
        <w:rPr>
          <w:b/>
        </w:rPr>
        <w:t>Órgãos Executivos e de Administração Geral</w:t>
      </w:r>
    </w:p>
    <w:p w14:paraId="24FFE1B5" w14:textId="77777777" w:rsidR="00A23DD7" w:rsidRDefault="00000000">
      <w:pPr>
        <w:pStyle w:val="Standard"/>
        <w:numPr>
          <w:ilvl w:val="0"/>
          <w:numId w:val="15"/>
        </w:numPr>
        <w:spacing w:line="360" w:lineRule="auto"/>
        <w:jc w:val="both"/>
      </w:pPr>
      <w:r>
        <w:t>Reitoria, composta pelo reitor e cinco pró-reitores:</w:t>
      </w:r>
    </w:p>
    <w:p w14:paraId="0782A30A" w14:textId="77777777" w:rsidR="00A23DD7" w:rsidRDefault="00000000">
      <w:pPr>
        <w:pStyle w:val="Standard"/>
        <w:numPr>
          <w:ilvl w:val="0"/>
          <w:numId w:val="16"/>
        </w:numPr>
        <w:tabs>
          <w:tab w:val="left" w:pos="1651"/>
        </w:tabs>
        <w:spacing w:line="360" w:lineRule="auto"/>
        <w:ind w:left="737" w:firstLine="0"/>
        <w:jc w:val="both"/>
      </w:pPr>
      <w:proofErr w:type="spellStart"/>
      <w:r>
        <w:t>Pró-reitoria</w:t>
      </w:r>
      <w:proofErr w:type="spellEnd"/>
      <w:r>
        <w:t xml:space="preserve"> de Administração (</w:t>
      </w:r>
      <w:proofErr w:type="spellStart"/>
      <w:r>
        <w:t>Proad</w:t>
      </w:r>
      <w:proofErr w:type="spellEnd"/>
      <w:r>
        <w:t>);</w:t>
      </w:r>
    </w:p>
    <w:p w14:paraId="39B578A5" w14:textId="77777777" w:rsidR="00A23DD7" w:rsidRDefault="00000000">
      <w:pPr>
        <w:pStyle w:val="Standard"/>
        <w:numPr>
          <w:ilvl w:val="0"/>
          <w:numId w:val="6"/>
        </w:numPr>
        <w:tabs>
          <w:tab w:val="left" w:pos="1651"/>
        </w:tabs>
        <w:spacing w:line="360" w:lineRule="auto"/>
        <w:ind w:left="737" w:firstLine="0"/>
        <w:jc w:val="both"/>
      </w:pPr>
      <w:proofErr w:type="spellStart"/>
      <w:r>
        <w:t>Pró-reitoria</w:t>
      </w:r>
      <w:proofErr w:type="spellEnd"/>
      <w:r>
        <w:t xml:space="preserve"> de Desenvolvimento Institucional (</w:t>
      </w:r>
      <w:proofErr w:type="spellStart"/>
      <w:r>
        <w:t>Prodin</w:t>
      </w:r>
      <w:proofErr w:type="spellEnd"/>
      <w:r>
        <w:t>);</w:t>
      </w:r>
    </w:p>
    <w:p w14:paraId="01E22CC2" w14:textId="77777777" w:rsidR="00A23DD7" w:rsidRDefault="00000000">
      <w:pPr>
        <w:pStyle w:val="Standard"/>
        <w:numPr>
          <w:ilvl w:val="0"/>
          <w:numId w:val="6"/>
        </w:numPr>
        <w:tabs>
          <w:tab w:val="left" w:pos="1651"/>
        </w:tabs>
        <w:spacing w:line="360" w:lineRule="auto"/>
        <w:ind w:left="737" w:firstLine="0"/>
        <w:jc w:val="both"/>
      </w:pPr>
      <w:proofErr w:type="spellStart"/>
      <w:r>
        <w:t>Pró-reitoria</w:t>
      </w:r>
      <w:proofErr w:type="spellEnd"/>
      <w:r>
        <w:t xml:space="preserve"> de Ensino (</w:t>
      </w:r>
      <w:proofErr w:type="spellStart"/>
      <w:r>
        <w:t>Proen</w:t>
      </w:r>
      <w:proofErr w:type="spellEnd"/>
      <w:r>
        <w:t>);</w:t>
      </w:r>
    </w:p>
    <w:p w14:paraId="5CDBC7A5" w14:textId="77777777" w:rsidR="00A23DD7" w:rsidRDefault="00000000">
      <w:pPr>
        <w:pStyle w:val="Standard"/>
        <w:numPr>
          <w:ilvl w:val="0"/>
          <w:numId w:val="6"/>
        </w:numPr>
        <w:tabs>
          <w:tab w:val="left" w:pos="1651"/>
        </w:tabs>
        <w:spacing w:line="360" w:lineRule="auto"/>
        <w:ind w:left="737" w:firstLine="0"/>
        <w:jc w:val="both"/>
      </w:pPr>
      <w:proofErr w:type="spellStart"/>
      <w:r>
        <w:t>Pró-reitoria</w:t>
      </w:r>
      <w:proofErr w:type="spellEnd"/>
      <w:r>
        <w:t xml:space="preserve"> de Extensão e Relações Externas (Proex);</w:t>
      </w:r>
    </w:p>
    <w:p w14:paraId="7686F57C" w14:textId="77777777" w:rsidR="00A23DD7" w:rsidRDefault="00000000">
      <w:pPr>
        <w:pStyle w:val="Standard"/>
        <w:numPr>
          <w:ilvl w:val="0"/>
          <w:numId w:val="6"/>
        </w:numPr>
        <w:tabs>
          <w:tab w:val="left" w:pos="1651"/>
        </w:tabs>
        <w:spacing w:line="360" w:lineRule="auto"/>
        <w:ind w:left="737" w:firstLine="0"/>
        <w:jc w:val="both"/>
      </w:pPr>
      <w:proofErr w:type="spellStart"/>
      <w:r>
        <w:t>Pró-reitoria</w:t>
      </w:r>
      <w:proofErr w:type="spellEnd"/>
      <w:r>
        <w:t xml:space="preserve"> de Pesquisa, Pós-graduação e Inovação (</w:t>
      </w:r>
      <w:proofErr w:type="spellStart"/>
      <w:r>
        <w:t>Proppi</w:t>
      </w:r>
      <w:proofErr w:type="spellEnd"/>
      <w:r>
        <w:t>).</w:t>
      </w:r>
    </w:p>
    <w:p w14:paraId="32848025" w14:textId="77777777" w:rsidR="00A23DD7" w:rsidRDefault="00000000">
      <w:pPr>
        <w:pStyle w:val="Standard"/>
        <w:numPr>
          <w:ilvl w:val="0"/>
          <w:numId w:val="5"/>
        </w:numPr>
        <w:spacing w:before="170" w:after="57" w:line="360" w:lineRule="auto"/>
        <w:ind w:hanging="174"/>
        <w:jc w:val="both"/>
        <w:rPr>
          <w:b/>
        </w:rPr>
      </w:pPr>
      <w:r>
        <w:rPr>
          <w:b/>
        </w:rPr>
        <w:t>Órgãos de Assessoramento</w:t>
      </w:r>
    </w:p>
    <w:p w14:paraId="2034ED13" w14:textId="77777777" w:rsidR="00A23DD7" w:rsidRDefault="00000000">
      <w:pPr>
        <w:pStyle w:val="Standard"/>
        <w:numPr>
          <w:ilvl w:val="0"/>
          <w:numId w:val="17"/>
        </w:numPr>
        <w:spacing w:line="360" w:lineRule="auto"/>
        <w:jc w:val="both"/>
      </w:pPr>
      <w:r>
        <w:t>Colegiado de Desenvolvimento de Pessoas (CDP):</w:t>
      </w:r>
    </w:p>
    <w:p w14:paraId="2977BF61" w14:textId="77777777" w:rsidR="00A23DD7" w:rsidRDefault="00000000">
      <w:pPr>
        <w:pStyle w:val="Standard"/>
        <w:numPr>
          <w:ilvl w:val="0"/>
          <w:numId w:val="18"/>
        </w:numPr>
        <w:tabs>
          <w:tab w:val="left" w:pos="1705"/>
        </w:tabs>
        <w:spacing w:line="360" w:lineRule="auto"/>
        <w:ind w:left="737" w:firstLine="0"/>
        <w:jc w:val="both"/>
      </w:pPr>
      <w:r>
        <w:t>Comissão Permanente de Pessoal Docente (CPPD);</w:t>
      </w:r>
    </w:p>
    <w:p w14:paraId="71F5BF08" w14:textId="77777777" w:rsidR="00A23DD7" w:rsidRDefault="00000000">
      <w:pPr>
        <w:pStyle w:val="Standard"/>
        <w:numPr>
          <w:ilvl w:val="0"/>
          <w:numId w:val="9"/>
        </w:numPr>
        <w:tabs>
          <w:tab w:val="left" w:pos="1705"/>
        </w:tabs>
        <w:spacing w:line="360" w:lineRule="auto"/>
        <w:ind w:left="737" w:firstLine="0"/>
        <w:jc w:val="both"/>
      </w:pPr>
      <w:r>
        <w:t>Comissão Interna de Supervisão do Plano de Carreira dos Cargos Técnico-Administrativos em Educação</w:t>
      </w:r>
      <w:r>
        <w:rPr>
          <w:color w:val="545454"/>
        </w:rPr>
        <w:t xml:space="preserve"> (</w:t>
      </w:r>
      <w:r>
        <w:t>CIS);</w:t>
      </w:r>
    </w:p>
    <w:p w14:paraId="7BAE8B17" w14:textId="77777777" w:rsidR="00A23DD7" w:rsidRDefault="00000000">
      <w:pPr>
        <w:pStyle w:val="Standard"/>
        <w:numPr>
          <w:ilvl w:val="0"/>
          <w:numId w:val="8"/>
        </w:numPr>
        <w:spacing w:line="360" w:lineRule="auto"/>
        <w:jc w:val="both"/>
      </w:pPr>
      <w:r>
        <w:t>Colegiado de Ensino, Pesquisa e Extensão (Cepe);</w:t>
      </w:r>
    </w:p>
    <w:p w14:paraId="721AF4DA" w14:textId="77777777" w:rsidR="00A23DD7" w:rsidRDefault="00000000">
      <w:pPr>
        <w:pStyle w:val="Standard"/>
        <w:numPr>
          <w:ilvl w:val="0"/>
          <w:numId w:val="8"/>
        </w:numPr>
        <w:spacing w:line="360" w:lineRule="auto"/>
        <w:jc w:val="both"/>
      </w:pPr>
      <w:r>
        <w:t>Comissão Própria de Avaliação (CPA).</w:t>
      </w:r>
    </w:p>
    <w:p w14:paraId="0F304702" w14:textId="77777777" w:rsidR="00A23DD7" w:rsidRDefault="00000000">
      <w:pPr>
        <w:pStyle w:val="Standard"/>
        <w:numPr>
          <w:ilvl w:val="0"/>
          <w:numId w:val="5"/>
        </w:numPr>
        <w:spacing w:before="170" w:after="57" w:line="360" w:lineRule="auto"/>
        <w:ind w:hanging="174"/>
        <w:jc w:val="both"/>
        <w:rPr>
          <w:b/>
        </w:rPr>
      </w:pPr>
      <w:r>
        <w:rPr>
          <w:b/>
        </w:rPr>
        <w:t>Órgão de Controle</w:t>
      </w:r>
    </w:p>
    <w:p w14:paraId="4A20DC49" w14:textId="77777777" w:rsidR="00A23DD7" w:rsidRDefault="00000000">
      <w:pPr>
        <w:pStyle w:val="Standard"/>
        <w:numPr>
          <w:ilvl w:val="0"/>
          <w:numId w:val="19"/>
        </w:numPr>
        <w:spacing w:line="360" w:lineRule="auto"/>
        <w:jc w:val="both"/>
      </w:pPr>
      <w:r>
        <w:lastRenderedPageBreak/>
        <w:t>Unidade de Auditoria Interna (</w:t>
      </w:r>
      <w:proofErr w:type="spellStart"/>
      <w:r>
        <w:t>Unai</w:t>
      </w:r>
      <w:proofErr w:type="spellEnd"/>
      <w:r>
        <w:t>)</w:t>
      </w:r>
    </w:p>
    <w:p w14:paraId="69AFBE13" w14:textId="77777777" w:rsidR="00A23DD7" w:rsidRDefault="00000000">
      <w:pPr>
        <w:pStyle w:val="Standard"/>
        <w:numPr>
          <w:ilvl w:val="0"/>
          <w:numId w:val="5"/>
        </w:numPr>
        <w:spacing w:before="170" w:after="57" w:line="360" w:lineRule="auto"/>
        <w:ind w:hanging="174"/>
        <w:jc w:val="both"/>
        <w:rPr>
          <w:b/>
        </w:rPr>
      </w:pPr>
      <w:r>
        <w:rPr>
          <w:b/>
        </w:rPr>
        <w:t>Procuradoria Federal</w:t>
      </w:r>
    </w:p>
    <w:p w14:paraId="161BCBC7" w14:textId="77777777" w:rsidR="00A23DD7" w:rsidRDefault="00000000">
      <w:pPr>
        <w:pStyle w:val="Standard"/>
        <w:numPr>
          <w:ilvl w:val="0"/>
          <w:numId w:val="5"/>
        </w:numPr>
        <w:spacing w:before="170" w:after="57" w:line="360" w:lineRule="auto"/>
        <w:ind w:hanging="174"/>
        <w:jc w:val="both"/>
        <w:rPr>
          <w:b/>
        </w:rPr>
      </w:pPr>
      <w:r>
        <w:rPr>
          <w:b/>
        </w:rPr>
        <w:t>Órgãos de Atividades Finalísticas</w:t>
      </w:r>
    </w:p>
    <w:p w14:paraId="436541D9" w14:textId="77777777" w:rsidR="00A23DD7" w:rsidRDefault="00000000">
      <w:pPr>
        <w:pStyle w:val="Standard"/>
        <w:numPr>
          <w:ilvl w:val="0"/>
          <w:numId w:val="20"/>
        </w:numPr>
        <w:spacing w:line="360" w:lineRule="auto"/>
        <w:jc w:val="both"/>
      </w:pPr>
      <w:r>
        <w:t xml:space="preserve">Diretorias-gerais dos </w:t>
      </w:r>
      <w:proofErr w:type="spellStart"/>
      <w:r>
        <w:t>câmpus</w:t>
      </w:r>
      <w:proofErr w:type="spellEnd"/>
      <w:r>
        <w:t>;</w:t>
      </w:r>
    </w:p>
    <w:p w14:paraId="1E9BF049" w14:textId="77777777" w:rsidR="00A23DD7" w:rsidRDefault="00000000">
      <w:pPr>
        <w:pStyle w:val="Standard"/>
        <w:numPr>
          <w:ilvl w:val="0"/>
          <w:numId w:val="5"/>
        </w:numPr>
        <w:spacing w:before="170" w:after="57" w:line="360" w:lineRule="auto"/>
        <w:ind w:hanging="174"/>
        <w:jc w:val="both"/>
        <w:rPr>
          <w:b/>
        </w:rPr>
      </w:pPr>
      <w:r>
        <w:rPr>
          <w:b/>
        </w:rPr>
        <w:t>Órgãos de Assessoramento das diretorias-gerais</w:t>
      </w:r>
    </w:p>
    <w:p w14:paraId="5F5DDAD0" w14:textId="77777777" w:rsidR="00A23DD7" w:rsidRDefault="00000000">
      <w:pPr>
        <w:pStyle w:val="Standard"/>
        <w:numPr>
          <w:ilvl w:val="0"/>
          <w:numId w:val="21"/>
        </w:numPr>
        <w:spacing w:line="360" w:lineRule="auto"/>
        <w:jc w:val="both"/>
      </w:pPr>
      <w:r>
        <w:t xml:space="preserve">Colegiados dos </w:t>
      </w:r>
      <w:proofErr w:type="spellStart"/>
      <w:r>
        <w:t>câmpus</w:t>
      </w:r>
      <w:proofErr w:type="spellEnd"/>
    </w:p>
    <w:p w14:paraId="554BE723" w14:textId="2EAA6967" w:rsidR="00A23DD7" w:rsidRPr="00A1445F" w:rsidRDefault="00000000" w:rsidP="00A1445F">
      <w:pPr>
        <w:pStyle w:val="Standard"/>
        <w:numPr>
          <w:ilvl w:val="0"/>
          <w:numId w:val="5"/>
        </w:numPr>
        <w:spacing w:before="170" w:after="57" w:line="360" w:lineRule="auto"/>
        <w:ind w:hanging="174"/>
        <w:jc w:val="both"/>
        <w:rPr>
          <w:b/>
        </w:rPr>
      </w:pPr>
      <w:r w:rsidRPr="00A1445F">
        <w:rPr>
          <w:b/>
        </w:rPr>
        <w:t>Polo de Inovação</w:t>
      </w:r>
      <w:bookmarkStart w:id="2" w:name="_1fob9te"/>
      <w:bookmarkEnd w:id="2"/>
    </w:p>
    <w:p w14:paraId="5BEF1A08" w14:textId="77777777" w:rsidR="00A23DD7" w:rsidRDefault="00000000">
      <w:pPr>
        <w:pStyle w:val="Ttulo2"/>
        <w:numPr>
          <w:ilvl w:val="1"/>
          <w:numId w:val="1"/>
        </w:numPr>
        <w:ind w:left="0" w:firstLine="0"/>
      </w:pPr>
      <w:r>
        <w:t>ÓRGÃOS SUPERIORES DA ADMINISTRAÇÃO</w:t>
      </w:r>
    </w:p>
    <w:p w14:paraId="7EC68975" w14:textId="77777777" w:rsidR="00A23DD7" w:rsidRDefault="00000000">
      <w:pPr>
        <w:pStyle w:val="Ttulo3"/>
        <w:numPr>
          <w:ilvl w:val="2"/>
          <w:numId w:val="1"/>
        </w:numPr>
      </w:pPr>
      <w:bookmarkStart w:id="3" w:name="_3znysh7"/>
      <w:bookmarkEnd w:id="3"/>
      <w:r>
        <w:t>Conselho Superior (</w:t>
      </w:r>
      <w:proofErr w:type="spellStart"/>
      <w:r>
        <w:t>Consup</w:t>
      </w:r>
      <w:proofErr w:type="spellEnd"/>
      <w:r>
        <w:t>)</w:t>
      </w:r>
    </w:p>
    <w:p w14:paraId="21944491" w14:textId="4D11B586" w:rsidR="00A23DD7" w:rsidRDefault="00000000">
      <w:pPr>
        <w:pStyle w:val="Standard"/>
        <w:spacing w:after="57" w:line="360" w:lineRule="auto"/>
        <w:jc w:val="both"/>
      </w:pPr>
      <w:r>
        <w:rPr>
          <w:rFonts w:ascii="Times New Roman" w:eastAsia="Times New Roman" w:hAnsi="Times New Roman" w:cs="Times New Roman"/>
          <w:color w:val="000000"/>
        </w:rPr>
        <w:tab/>
        <w:t>O Conselho Superior (</w:t>
      </w:r>
      <w:proofErr w:type="spellStart"/>
      <w:r>
        <w:rPr>
          <w:rFonts w:ascii="Times New Roman" w:eastAsia="Times New Roman" w:hAnsi="Times New Roman" w:cs="Times New Roman"/>
          <w:color w:val="000000"/>
        </w:rPr>
        <w:t>Consup</w:t>
      </w:r>
      <w:proofErr w:type="spellEnd"/>
      <w:r>
        <w:rPr>
          <w:rFonts w:ascii="Times New Roman" w:eastAsia="Times New Roman" w:hAnsi="Times New Roman" w:cs="Times New Roman"/>
          <w:color w:val="000000"/>
        </w:rPr>
        <w:t xml:space="preserve">), de caráter consultivo e deliberativo, é o órgão máximo </w:t>
      </w:r>
      <w:r w:rsidR="00A1445F">
        <w:rPr>
          <w:rFonts w:ascii="Times New Roman" w:eastAsia="Times New Roman" w:hAnsi="Times New Roman" w:cs="Times New Roman"/>
          <w:color w:val="000000"/>
        </w:rPr>
        <w:t>do IFSC</w:t>
      </w:r>
      <w:r>
        <w:rPr>
          <w:rFonts w:ascii="Times New Roman" w:eastAsia="Times New Roman" w:hAnsi="Times New Roman" w:cs="Times New Roman"/>
          <w:color w:val="000000"/>
        </w:rPr>
        <w:t xml:space="preserve">. </w:t>
      </w:r>
      <w:r>
        <w:t xml:space="preserve">É composto por representantes da comunidade interna (docentes, discentes, técnico-administrativos e diretores-gerais dos </w:t>
      </w:r>
      <w:proofErr w:type="spellStart"/>
      <w:r>
        <w:t>câmpus</w:t>
      </w:r>
      <w:proofErr w:type="spellEnd"/>
      <w:r>
        <w:t xml:space="preserve">), escolhidos por seus pares, representantes dos egressos, da sociedade civil (vinculados às federações patronais e às organizações sindicais), do setor público (Secretaria de Estado da Educação e Fundação de Pesquisa do Estado de Santa Catarina) e do Ministério da Educação, tendo o reitor como seu presidente. </w:t>
      </w:r>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Consup</w:t>
      </w:r>
      <w:proofErr w:type="spellEnd"/>
      <w:r>
        <w:rPr>
          <w:rFonts w:ascii="Times New Roman" w:eastAsia="Times New Roman" w:hAnsi="Times New Roman" w:cs="Times New Roman"/>
          <w:color w:val="000000"/>
        </w:rPr>
        <w:t xml:space="preserve"> trata de assuntos relativos a políticas institucionais, orçamento anual, prestação de contas, eleições para reitor e diretores-gerais, entre outros. Sua estrutura, funcionamento e competências podem ser consultados no Estatuto do IFSC.</w:t>
      </w:r>
    </w:p>
    <w:p w14:paraId="50173A47" w14:textId="77777777" w:rsidR="00A23DD7" w:rsidRDefault="00000000">
      <w:pPr>
        <w:pStyle w:val="Ttulo3"/>
        <w:numPr>
          <w:ilvl w:val="2"/>
          <w:numId w:val="1"/>
        </w:numPr>
      </w:pPr>
      <w:bookmarkStart w:id="4" w:name="_2et92p0"/>
      <w:bookmarkEnd w:id="4"/>
      <w:r>
        <w:t>Colégio de Dirigentes (</w:t>
      </w:r>
      <w:proofErr w:type="spellStart"/>
      <w:r>
        <w:t>Codir</w:t>
      </w:r>
      <w:proofErr w:type="spellEnd"/>
      <w:r>
        <w:t>)</w:t>
      </w:r>
    </w:p>
    <w:p w14:paraId="26239A33" w14:textId="77777777" w:rsidR="00A23DD7" w:rsidRDefault="00000000">
      <w:pPr>
        <w:pStyle w:val="Standard"/>
        <w:spacing w:after="57" w:line="360" w:lineRule="auto"/>
        <w:jc w:val="both"/>
      </w:pPr>
      <w:r>
        <w:rPr>
          <w:rFonts w:ascii="Times New Roman" w:eastAsia="Times New Roman" w:hAnsi="Times New Roman" w:cs="Times New Roman"/>
          <w:color w:val="000000"/>
        </w:rPr>
        <w:tab/>
        <w:t xml:space="preserve">O </w:t>
      </w:r>
      <w:proofErr w:type="spellStart"/>
      <w:r>
        <w:rPr>
          <w:rFonts w:ascii="Times New Roman" w:eastAsia="Times New Roman" w:hAnsi="Times New Roman" w:cs="Times New Roman"/>
          <w:color w:val="000000"/>
        </w:rPr>
        <w:t>Codir</w:t>
      </w:r>
      <w:proofErr w:type="spellEnd"/>
      <w:r>
        <w:rPr>
          <w:rFonts w:ascii="Times New Roman" w:eastAsia="Times New Roman" w:hAnsi="Times New Roman" w:cs="Times New Roman"/>
          <w:color w:val="000000"/>
        </w:rPr>
        <w:t xml:space="preserve"> é um órgão de apoio ao processo decisório do IFSC, de caráter consultivo, composto pelo </w:t>
      </w:r>
      <w:r>
        <w:t>reitor</w:t>
      </w:r>
      <w:r>
        <w:rPr>
          <w:rFonts w:ascii="Times New Roman" w:eastAsia="Times New Roman" w:hAnsi="Times New Roman" w:cs="Times New Roman"/>
          <w:color w:val="000000"/>
        </w:rPr>
        <w:t xml:space="preserve">, seu presidente nato, pelos </w:t>
      </w:r>
      <w:r>
        <w:t>pró-reitores</w:t>
      </w:r>
      <w:r>
        <w:rPr>
          <w:rFonts w:ascii="Times New Roman" w:eastAsia="Times New Roman" w:hAnsi="Times New Roman" w:cs="Times New Roman"/>
          <w:color w:val="000000"/>
        </w:rPr>
        <w:t xml:space="preserve"> e pelos </w:t>
      </w:r>
      <w:r>
        <w:t>diretores-gerais</w:t>
      </w:r>
      <w:r>
        <w:rPr>
          <w:rFonts w:ascii="Times New Roman" w:eastAsia="Times New Roman" w:hAnsi="Times New Roman" w:cs="Times New Roman"/>
          <w:color w:val="000000"/>
        </w:rPr>
        <w:t xml:space="preserve"> dos </w:t>
      </w:r>
      <w:proofErr w:type="spellStart"/>
      <w:r>
        <w:rPr>
          <w:rFonts w:ascii="Times New Roman" w:eastAsia="Times New Roman" w:hAnsi="Times New Roman" w:cs="Times New Roman"/>
          <w:color w:val="000000"/>
        </w:rPr>
        <w:t>câmpus</w:t>
      </w:r>
      <w:proofErr w:type="spellEnd"/>
      <w:r>
        <w:rPr>
          <w:rFonts w:ascii="Times New Roman" w:eastAsia="Times New Roman" w:hAnsi="Times New Roman" w:cs="Times New Roman"/>
          <w:color w:val="000000"/>
        </w:rPr>
        <w:t xml:space="preserve">. Trata de matéria administrativa, econômica, orçamentária, financeira e sobre relações sociais, de trabalho e de vivência. O calendário </w:t>
      </w:r>
      <w:r>
        <w:t>de ingresso</w:t>
      </w:r>
      <w:r>
        <w:rPr>
          <w:rFonts w:ascii="Times New Roman" w:eastAsia="Times New Roman" w:hAnsi="Times New Roman" w:cs="Times New Roman"/>
          <w:color w:val="000000"/>
        </w:rPr>
        <w:t xml:space="preserve"> e critérios para distribuição do orçamento anual são dois exemplos de assuntos que passam pelo </w:t>
      </w:r>
      <w:proofErr w:type="spellStart"/>
      <w:r>
        <w:rPr>
          <w:rFonts w:ascii="Times New Roman" w:eastAsia="Times New Roman" w:hAnsi="Times New Roman" w:cs="Times New Roman"/>
          <w:color w:val="000000"/>
        </w:rPr>
        <w:t>Codir</w:t>
      </w:r>
      <w:proofErr w:type="spellEnd"/>
      <w:r>
        <w:rPr>
          <w:rFonts w:ascii="Times New Roman" w:eastAsia="Times New Roman" w:hAnsi="Times New Roman" w:cs="Times New Roman"/>
          <w:color w:val="000000"/>
        </w:rPr>
        <w:t>. Sua estrutura, funcionamento e competências podem ser consultados no Estatuto do IFSC.</w:t>
      </w:r>
    </w:p>
    <w:p w14:paraId="3EDF594A" w14:textId="77777777" w:rsidR="00A23DD7" w:rsidRDefault="00000000">
      <w:pPr>
        <w:pStyle w:val="Ttulo2"/>
        <w:numPr>
          <w:ilvl w:val="1"/>
          <w:numId w:val="1"/>
        </w:numPr>
        <w:ind w:left="0" w:firstLine="0"/>
      </w:pPr>
      <w:bookmarkStart w:id="5" w:name="_tyjcwt"/>
      <w:bookmarkEnd w:id="5"/>
      <w:r>
        <w:lastRenderedPageBreak/>
        <w:t>ÓRGÃO EXECUTIVO E DE ADMINISTRAÇÃO GERAL – REITORIA</w:t>
      </w:r>
      <w:r>
        <w:rPr>
          <w:rStyle w:val="Refdenotaderodap"/>
        </w:rPr>
        <w:footnoteReference w:id="1"/>
      </w:r>
    </w:p>
    <w:p w14:paraId="19713FA8"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tab/>
      </w:r>
      <w:r w:rsidRPr="00A1445F">
        <w:rPr>
          <w:rFonts w:ascii="Times New Roman" w:eastAsia="Times New Roman" w:hAnsi="Times New Roman" w:cs="Times New Roman"/>
          <w:color w:val="000000"/>
        </w:rPr>
        <w:t>À Reitoria compete a administração geral do IFSC, assessorada pelo Colégio de Dirigentes e Conselho Superior. Está neste escopo a supervisão da execução das políticas de gestão educacional, de pessoal, orçamentária, financeira e patrimonial, visando ao aperfeiçoamento, ao desenvolvimento e à excelência das atividades de ensino, pesquisa e extensão. Também coordena e supervisiona a execução dos planos aprovados, adotando medidas para seu cumprimento e avaliação dos resultados. É ainda responsável por planejar as estratégias de desenvolvimento da instituição e formular as propostas orçamentárias, encaminhando-as para aprovação dos órgãos competentes, promovendo o planejamento, a integração e a cooperação mútua entre as unidades organizacionais que compõem o Instituto Federal de Santa Catarina.</w:t>
      </w:r>
    </w:p>
    <w:p w14:paraId="28A3C65B" w14:textId="77777777" w:rsidR="00A23DD7" w:rsidRDefault="00000000">
      <w:pPr>
        <w:pStyle w:val="Standard"/>
        <w:spacing w:after="57" w:line="360" w:lineRule="auto"/>
        <w:jc w:val="both"/>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rPr>
        <w:t>Conforme a Instrução Normativa da Reitoria, para cumprir suas competências, o IFSC conta com a estrutura organizacional apresentada na Figura 2.</w:t>
      </w:r>
      <w:r>
        <w:t>1.</w:t>
      </w:r>
    </w:p>
    <w:p w14:paraId="2DFD5EFC" w14:textId="77777777" w:rsidR="00A23DD7" w:rsidRDefault="00A23DD7">
      <w:pPr>
        <w:pStyle w:val="Standard"/>
        <w:spacing w:after="57" w:line="360" w:lineRule="auto"/>
      </w:pPr>
    </w:p>
    <w:p w14:paraId="6C31BFC9" w14:textId="77777777" w:rsidR="00A23DD7" w:rsidRDefault="00000000">
      <w:pPr>
        <w:pStyle w:val="Standard"/>
        <w:spacing w:after="57" w:line="360" w:lineRule="auto"/>
        <w:jc w:val="both"/>
      </w:pPr>
      <w:r>
        <w:rPr>
          <w:noProof/>
        </w:rPr>
        <w:drawing>
          <wp:inline distT="0" distB="0" distL="0" distR="0" wp14:anchorId="04CF40B3" wp14:editId="1DF1BA11">
            <wp:extent cx="6120000" cy="269244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alphaModFix/>
                    </a:blip>
                    <a:srcRect/>
                    <a:stretch>
                      <a:fillRect/>
                    </a:stretch>
                  </pic:blipFill>
                  <pic:spPr>
                    <a:xfrm>
                      <a:off x="0" y="0"/>
                      <a:ext cx="6120000" cy="2692440"/>
                    </a:xfrm>
                    <a:prstGeom prst="rect">
                      <a:avLst/>
                    </a:prstGeom>
                    <a:noFill/>
                    <a:ln>
                      <a:noFill/>
                      <a:prstDash/>
                    </a:ln>
                  </pic:spPr>
                </pic:pic>
              </a:graphicData>
            </a:graphic>
          </wp:inline>
        </w:drawing>
      </w:r>
    </w:p>
    <w:p w14:paraId="4B9784D8" w14:textId="77777777" w:rsidR="00A23DD7" w:rsidRDefault="00000000">
      <w:pPr>
        <w:pStyle w:val="Standard"/>
        <w:spacing w:after="57" w:line="360" w:lineRule="auto"/>
        <w:jc w:val="both"/>
      </w:pPr>
      <w:r>
        <w:rPr>
          <w:b/>
          <w:bCs/>
        </w:rPr>
        <w:t>Figura 2.1.</w:t>
      </w:r>
      <w:r>
        <w:t xml:space="preserve"> Organograma da Reitoria.</w:t>
      </w:r>
    </w:p>
    <w:p w14:paraId="0ED03201" w14:textId="77777777" w:rsidR="00A23DD7" w:rsidRDefault="00000000">
      <w:pPr>
        <w:pStyle w:val="Standard"/>
        <w:spacing w:after="57" w:line="360" w:lineRule="auto"/>
        <w:jc w:val="both"/>
      </w:pPr>
      <w:r>
        <w:rPr>
          <w:rFonts w:ascii="Times New Roman" w:eastAsia="Times New Roman" w:hAnsi="Times New Roman" w:cs="Times New Roman"/>
          <w:color w:val="000000"/>
          <w:sz w:val="23"/>
          <w:szCs w:val="23"/>
        </w:rPr>
        <w:tab/>
        <w:t xml:space="preserve">As competências referentes à estrutura anterior podem ser consultadas no Regimento Geral do </w:t>
      </w:r>
      <w:r>
        <w:rPr>
          <w:rFonts w:ascii="Times New Roman" w:eastAsia="Times New Roman" w:hAnsi="Times New Roman" w:cs="Times New Roman"/>
          <w:color w:val="000000"/>
          <w:sz w:val="23"/>
          <w:szCs w:val="23"/>
        </w:rPr>
        <w:lastRenderedPageBreak/>
        <w:t xml:space="preserve">IFSC e na Instrução Normativa da </w:t>
      </w:r>
      <w:r>
        <w:rPr>
          <w:sz w:val="23"/>
          <w:szCs w:val="23"/>
        </w:rPr>
        <w:t>Reitor</w:t>
      </w:r>
      <w:r>
        <w:rPr>
          <w:rFonts w:ascii="Times New Roman" w:eastAsia="Times New Roman" w:hAnsi="Times New Roman" w:cs="Times New Roman"/>
          <w:color w:val="000000"/>
          <w:sz w:val="23"/>
          <w:szCs w:val="23"/>
        </w:rPr>
        <w:t>ia.</w:t>
      </w:r>
    </w:p>
    <w:p w14:paraId="641B1A8A" w14:textId="77777777" w:rsidR="00A23DD7" w:rsidRDefault="00000000">
      <w:pPr>
        <w:pStyle w:val="Ttulo3"/>
        <w:numPr>
          <w:ilvl w:val="2"/>
          <w:numId w:val="1"/>
        </w:numPr>
      </w:pPr>
      <w:bookmarkStart w:id="6" w:name="_3dy6vkm"/>
      <w:bookmarkEnd w:id="6"/>
      <w:r>
        <w:t>Gabinete do reitor</w:t>
      </w:r>
    </w:p>
    <w:p w14:paraId="7ED61997" w14:textId="77777777" w:rsidR="00A23DD7" w:rsidRDefault="00000000">
      <w:pPr>
        <w:pStyle w:val="Standard"/>
        <w:spacing w:after="57" w:line="360" w:lineRule="auto"/>
        <w:jc w:val="both"/>
      </w:pPr>
      <w:r>
        <w:rPr>
          <w:rFonts w:ascii="Times New Roman" w:eastAsia="Times New Roman" w:hAnsi="Times New Roman" w:cs="Times New Roman"/>
          <w:color w:val="000000"/>
        </w:rPr>
        <w:tab/>
        <w:t xml:space="preserve">O Gabinete do </w:t>
      </w:r>
      <w:r>
        <w:t>reitor</w:t>
      </w:r>
      <w:r>
        <w:rPr>
          <w:rFonts w:ascii="Times New Roman" w:eastAsia="Times New Roman" w:hAnsi="Times New Roman" w:cs="Times New Roman"/>
          <w:color w:val="000000"/>
        </w:rPr>
        <w:t xml:space="preserve">, cuja </w:t>
      </w:r>
      <w:r>
        <w:t>estrutura</w:t>
      </w:r>
      <w:r>
        <w:rPr>
          <w:rFonts w:ascii="Times New Roman" w:eastAsia="Times New Roman" w:hAnsi="Times New Roman" w:cs="Times New Roman"/>
          <w:color w:val="000000"/>
        </w:rPr>
        <w:t xml:space="preserve"> é apresentada na Figura 2.2, é responsável por assisti-lo em seu relacionamento institucional e administrativo. É composto pelo </w:t>
      </w:r>
      <w:r>
        <w:t>reitor</w:t>
      </w:r>
      <w:r>
        <w:rPr>
          <w:rFonts w:ascii="Times New Roman" w:eastAsia="Times New Roman" w:hAnsi="Times New Roman" w:cs="Times New Roman"/>
          <w:color w:val="000000"/>
        </w:rPr>
        <w:t xml:space="preserve">, </w:t>
      </w:r>
      <w:r>
        <w:t>D</w:t>
      </w:r>
      <w:r>
        <w:rPr>
          <w:rFonts w:ascii="Times New Roman" w:eastAsia="Times New Roman" w:hAnsi="Times New Roman" w:cs="Times New Roman"/>
          <w:color w:val="000000"/>
        </w:rPr>
        <w:t xml:space="preserve">iretoria Executiva, </w:t>
      </w:r>
      <w:r>
        <w:rPr>
          <w:rFonts w:ascii="Times New Roman" w:eastAsia="Times New Roman" w:hAnsi="Times New Roman" w:cs="Times New Roman"/>
        </w:rPr>
        <w:t>Chefia de Gabinete,</w:t>
      </w:r>
      <w:r>
        <w:t xml:space="preserve"> </w:t>
      </w:r>
      <w:r>
        <w:rPr>
          <w:rFonts w:ascii="Times New Roman" w:eastAsia="Times New Roman" w:hAnsi="Times New Roman" w:cs="Times New Roman"/>
        </w:rPr>
        <w:t>Dire</w:t>
      </w:r>
      <w:r>
        <w:t>toria de Gestão de Pessoas e seus Departamentos. Também conta com unidades vinculadas diretamente ao reitor, como a Diretoria do Polo de Inovação, Ouvidoria, Unidade Correcional, Procuradoria Federal e Unidade de Auditoria Interna Governamental.</w:t>
      </w:r>
    </w:p>
    <w:p w14:paraId="76A0A08D" w14:textId="77777777" w:rsidR="00A23DD7" w:rsidRDefault="00000000">
      <w:pPr>
        <w:pStyle w:val="Standard"/>
        <w:spacing w:after="57" w:line="360" w:lineRule="auto"/>
        <w:jc w:val="both"/>
      </w:pPr>
      <w:r>
        <w:rPr>
          <w:noProof/>
        </w:rPr>
        <w:drawing>
          <wp:anchor distT="0" distB="0" distL="114300" distR="114300" simplePos="0" relativeHeight="25" behindDoc="0" locked="0" layoutInCell="1" allowOverlap="1" wp14:anchorId="5D7BEA00" wp14:editId="75CCFB4E">
            <wp:simplePos x="0" y="0"/>
            <wp:positionH relativeFrom="column">
              <wp:posOffset>1028879</wp:posOffset>
            </wp:positionH>
            <wp:positionV relativeFrom="paragraph">
              <wp:posOffset>314280</wp:posOffset>
            </wp:positionV>
            <wp:extent cx="3884759" cy="3939480"/>
            <wp:effectExtent l="0" t="0" r="1441" b="3870"/>
            <wp:wrapTopAndBottom/>
            <wp:docPr id="3" name="image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3884759" cy="3939480"/>
                    </a:xfrm>
                    <a:prstGeom prst="rect">
                      <a:avLst/>
                    </a:prstGeom>
                    <a:noFill/>
                    <a:ln>
                      <a:noFill/>
                      <a:prstDash/>
                    </a:ln>
                  </pic:spPr>
                </pic:pic>
              </a:graphicData>
            </a:graphic>
          </wp:anchor>
        </w:drawing>
      </w:r>
    </w:p>
    <w:p w14:paraId="1FACDB1C" w14:textId="77777777" w:rsidR="00A23DD7" w:rsidRDefault="00000000">
      <w:pPr>
        <w:pStyle w:val="Standard"/>
        <w:spacing w:after="57" w:line="360" w:lineRule="auto"/>
        <w:jc w:val="both"/>
      </w:pPr>
      <w:r>
        <w:rPr>
          <w:rFonts w:ascii="Times New Roman" w:eastAsia="Times New Roman" w:hAnsi="Times New Roman" w:cs="Times New Roman"/>
          <w:b/>
          <w:bCs/>
        </w:rPr>
        <w:t>Figura 2.2</w:t>
      </w:r>
      <w:r>
        <w:rPr>
          <w:rFonts w:ascii="Times New Roman" w:eastAsia="Times New Roman" w:hAnsi="Times New Roman" w:cs="Times New Roman"/>
        </w:rPr>
        <w:t>. Organograma do Gabinete do reitor</w:t>
      </w:r>
    </w:p>
    <w:p w14:paraId="455E7792" w14:textId="77777777" w:rsidR="00A23DD7" w:rsidRDefault="00000000">
      <w:pPr>
        <w:pStyle w:val="Standard"/>
        <w:spacing w:after="57" w:line="360" w:lineRule="auto"/>
        <w:jc w:val="both"/>
      </w:pPr>
      <w:r>
        <w:rPr>
          <w:rFonts w:ascii="Times New Roman" w:eastAsia="Times New Roman" w:hAnsi="Times New Roman" w:cs="Times New Roman"/>
        </w:rPr>
        <w:tab/>
        <w:t xml:space="preserve">As competências do </w:t>
      </w:r>
      <w:r>
        <w:t xml:space="preserve">reitor, </w:t>
      </w:r>
      <w:r>
        <w:rPr>
          <w:rFonts w:ascii="Times New Roman" w:eastAsia="Times New Roman" w:hAnsi="Times New Roman" w:cs="Times New Roman"/>
        </w:rPr>
        <w:t xml:space="preserve">Diretoria Executiva, Chefia de Gabinete, </w:t>
      </w:r>
      <w:r>
        <w:t>Diretoria</w:t>
      </w:r>
      <w:r>
        <w:rPr>
          <w:rFonts w:ascii="Times New Roman" w:eastAsia="Times New Roman" w:hAnsi="Times New Roman" w:cs="Times New Roman"/>
        </w:rPr>
        <w:t xml:space="preserve"> de Gestão de Pessoas e seus departamentos, podem ser</w:t>
      </w:r>
      <w:r>
        <w:t xml:space="preserve"> consultadas no Regimento Geral do IFSC. As competências da </w:t>
      </w:r>
      <w:r>
        <w:rPr>
          <w:rFonts w:ascii="Times New Roman" w:eastAsia="Times New Roman" w:hAnsi="Times New Roman" w:cs="Times New Roman"/>
        </w:rPr>
        <w:t xml:space="preserve">Diretoria do Polo de Inovação e seu departamento, Procuradoria Federal junto ao IFSC, Unidade de Auditoria Interna Governamental, Unidade Correcional e Ouvidoria podem ser consultadas nos </w:t>
      </w:r>
      <w:r>
        <w:rPr>
          <w:rFonts w:ascii="Times New Roman" w:eastAsia="Times New Roman" w:hAnsi="Times New Roman" w:cs="Times New Roman"/>
        </w:rPr>
        <w:lastRenderedPageBreak/>
        <w:t xml:space="preserve">Regimentos Próprios. </w:t>
      </w:r>
      <w:r w:rsidRPr="00A1445F">
        <w:rPr>
          <w:rFonts w:ascii="Times New Roman" w:eastAsia="Times New Roman" w:hAnsi="Times New Roman" w:cs="Times New Roman"/>
          <w:color w:val="000000"/>
        </w:rPr>
        <w:t>A estrutura e as atribuições das coordenadorias e assessorias são dadas por Instrução Normativa da Reitoria</w:t>
      </w:r>
      <w:r>
        <w:rPr>
          <w:rFonts w:ascii="Times New Roman" w:eastAsia="Times New Roman" w:hAnsi="Times New Roman" w:cs="Times New Roman"/>
        </w:rPr>
        <w:t xml:space="preserve">. </w:t>
      </w:r>
      <w:hyperlink r:id="rId31" w:history="1">
        <w:r>
          <w:rPr>
            <w:color w:val="1155CC"/>
            <w:u w:val="single"/>
          </w:rPr>
          <w:t>Consulte aqui os regimentos citados acima e a Instrução Normativa.</w:t>
        </w:r>
      </w:hyperlink>
    </w:p>
    <w:p w14:paraId="541DF0EF" w14:textId="77777777" w:rsidR="00A23DD7" w:rsidRDefault="00000000">
      <w:pPr>
        <w:pStyle w:val="Ttulo3"/>
        <w:numPr>
          <w:ilvl w:val="2"/>
          <w:numId w:val="1"/>
        </w:numPr>
      </w:pPr>
      <w:bookmarkStart w:id="7" w:name="_1t3h5sf"/>
      <w:bookmarkEnd w:id="7"/>
      <w:proofErr w:type="spellStart"/>
      <w:r>
        <w:t>Pró-reitorias</w:t>
      </w:r>
      <w:proofErr w:type="spellEnd"/>
    </w:p>
    <w:p w14:paraId="1BB0D2F3" w14:textId="77777777" w:rsidR="00A23DD7" w:rsidRDefault="00000000">
      <w:pPr>
        <w:pStyle w:val="Standard"/>
        <w:spacing w:after="57" w:line="360" w:lineRule="auto"/>
        <w:jc w:val="both"/>
      </w:pPr>
      <w:r>
        <w:rPr>
          <w:rFonts w:ascii="Times New Roman" w:eastAsia="Times New Roman" w:hAnsi="Times New Roman" w:cs="Times New Roman"/>
          <w:color w:val="000000"/>
        </w:rPr>
        <w:tab/>
        <w:t xml:space="preserve">Todos os pró-reitores são nomeados pelo </w:t>
      </w:r>
      <w:r>
        <w:t>reitor</w:t>
      </w:r>
      <w:r>
        <w:rPr>
          <w:rFonts w:ascii="Times New Roman" w:eastAsia="Times New Roman" w:hAnsi="Times New Roman" w:cs="Times New Roman"/>
          <w:color w:val="000000"/>
        </w:rPr>
        <w:t xml:space="preserve">. Seguem-se a estrutura resumida e principais competências de cada </w:t>
      </w:r>
      <w:proofErr w:type="spellStart"/>
      <w:r>
        <w:rPr>
          <w:rFonts w:ascii="Times New Roman" w:eastAsia="Times New Roman" w:hAnsi="Times New Roman" w:cs="Times New Roman"/>
          <w:color w:val="000000"/>
        </w:rPr>
        <w:t>pró-reitoria</w:t>
      </w:r>
      <w:proofErr w:type="spellEnd"/>
      <w:r>
        <w:rPr>
          <w:rFonts w:ascii="Times New Roman" w:eastAsia="Times New Roman" w:hAnsi="Times New Roman" w:cs="Times New Roman"/>
          <w:color w:val="000000"/>
        </w:rPr>
        <w:t xml:space="preserve">. As competências detalhadas da estrutura apresentada podem ser consultadas no Regimento Geral do IFSC. A estrutura e as atribuições das coordenadorias e assessorias são dadas por Instrução Normativa da </w:t>
      </w:r>
      <w:r>
        <w:t>Reitor</w:t>
      </w:r>
      <w:r>
        <w:rPr>
          <w:rFonts w:ascii="Times New Roman" w:eastAsia="Times New Roman" w:hAnsi="Times New Roman" w:cs="Times New Roman"/>
          <w:color w:val="000000"/>
        </w:rPr>
        <w:t>ia.</w:t>
      </w:r>
    </w:p>
    <w:p w14:paraId="69996ABF" w14:textId="77777777" w:rsidR="00A23DD7" w:rsidRDefault="00A23DD7">
      <w:pPr>
        <w:pStyle w:val="Standard"/>
        <w:spacing w:after="57" w:line="360" w:lineRule="auto"/>
        <w:jc w:val="both"/>
      </w:pPr>
    </w:p>
    <w:p w14:paraId="3DA1239D" w14:textId="77777777" w:rsidR="00A23DD7" w:rsidRPr="00A1445F" w:rsidRDefault="00000000">
      <w:pPr>
        <w:pStyle w:val="Standard"/>
        <w:tabs>
          <w:tab w:val="left" w:pos="1025"/>
        </w:tabs>
        <w:spacing w:line="360" w:lineRule="auto"/>
        <w:jc w:val="both"/>
        <w:rPr>
          <w:rFonts w:ascii="Times New Roman" w:eastAsia="Times New Roman" w:hAnsi="Times New Roman" w:cs="Times New Roman"/>
          <w:color w:val="000000"/>
        </w:rPr>
      </w:pPr>
      <w:proofErr w:type="spellStart"/>
      <w:r>
        <w:rPr>
          <w:b/>
        </w:rPr>
        <w:t>Pró-reitoria</w:t>
      </w:r>
      <w:proofErr w:type="spellEnd"/>
      <w:r>
        <w:rPr>
          <w:b/>
        </w:rPr>
        <w:t xml:space="preserve"> de Administração (</w:t>
      </w:r>
      <w:proofErr w:type="spellStart"/>
      <w:r>
        <w:rPr>
          <w:b/>
        </w:rPr>
        <w:t>Proad</w:t>
      </w:r>
      <w:proofErr w:type="spellEnd"/>
      <w:r>
        <w:rPr>
          <w:b/>
        </w:rPr>
        <w:t xml:space="preserve">) - </w:t>
      </w:r>
      <w:r w:rsidRPr="00A1445F">
        <w:rPr>
          <w:rFonts w:ascii="Times New Roman" w:eastAsia="Times New Roman" w:hAnsi="Times New Roman" w:cs="Times New Roman"/>
          <w:color w:val="000000"/>
        </w:rPr>
        <w:t>Compete planejar, desenvolver, controlar e avaliar a administração orçamentária, financeira, executar o planejamento nos níveis tático e operacional, elaborar os projetos de infraestrutura, executar as licitações, executar os contratos e a realização de outras atividades delegadas pelo reitor. Conforme Regimento Geral, para cumprir suas competências, conta com a estrutura organizacional apresentada na Figura 2.3.</w:t>
      </w:r>
    </w:p>
    <w:p w14:paraId="533A927B" w14:textId="52B76508" w:rsidR="00A23DD7" w:rsidRDefault="00000000">
      <w:pPr>
        <w:pStyle w:val="Standard"/>
        <w:tabs>
          <w:tab w:val="left" w:pos="1025"/>
        </w:tabs>
        <w:spacing w:line="360" w:lineRule="auto"/>
        <w:jc w:val="both"/>
      </w:pPr>
      <w:r>
        <w:rPr>
          <w:noProof/>
        </w:rPr>
        <w:drawing>
          <wp:anchor distT="0" distB="0" distL="114300" distR="114300" simplePos="0" relativeHeight="24" behindDoc="0" locked="0" layoutInCell="1" allowOverlap="1" wp14:anchorId="53D1E276" wp14:editId="35E99DE9">
            <wp:simplePos x="0" y="0"/>
            <wp:positionH relativeFrom="column">
              <wp:posOffset>695159</wp:posOffset>
            </wp:positionH>
            <wp:positionV relativeFrom="paragraph">
              <wp:posOffset>228600</wp:posOffset>
            </wp:positionV>
            <wp:extent cx="4790520" cy="1894319"/>
            <wp:effectExtent l="0" t="0" r="0" b="0"/>
            <wp:wrapTopAndBottom/>
            <wp:docPr id="4" name="image1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alphaModFix/>
                    </a:blip>
                    <a:srcRect/>
                    <a:stretch>
                      <a:fillRect/>
                    </a:stretch>
                  </pic:blipFill>
                  <pic:spPr>
                    <a:xfrm>
                      <a:off x="0" y="0"/>
                      <a:ext cx="4790520" cy="1894319"/>
                    </a:xfrm>
                    <a:prstGeom prst="rect">
                      <a:avLst/>
                    </a:prstGeom>
                    <a:noFill/>
                    <a:ln>
                      <a:noFill/>
                      <a:prstDash/>
                    </a:ln>
                  </pic:spPr>
                </pic:pic>
              </a:graphicData>
            </a:graphic>
          </wp:anchor>
        </w:drawing>
      </w:r>
    </w:p>
    <w:p w14:paraId="09125107" w14:textId="60ABCED4" w:rsidR="00A23DD7" w:rsidRDefault="00A1445F">
      <w:pPr>
        <w:pStyle w:val="Standard"/>
        <w:tabs>
          <w:tab w:val="left" w:pos="1025"/>
        </w:tabs>
        <w:spacing w:line="360" w:lineRule="auto"/>
        <w:jc w:val="both"/>
      </w:pPr>
      <w:r>
        <w:rPr>
          <w:b/>
          <w:bCs/>
        </w:rPr>
        <w:t>Figura 2.3</w:t>
      </w:r>
      <w:r>
        <w:t xml:space="preserve">. Organograma da </w:t>
      </w:r>
      <w:proofErr w:type="spellStart"/>
      <w:r>
        <w:t>Pró-reitoria</w:t>
      </w:r>
      <w:proofErr w:type="spellEnd"/>
      <w:r>
        <w:t xml:space="preserve"> de Administração.</w:t>
      </w:r>
    </w:p>
    <w:p w14:paraId="1EBB32F1" w14:textId="77777777" w:rsidR="00A23DD7" w:rsidRPr="00A1445F" w:rsidRDefault="00000000">
      <w:pPr>
        <w:pStyle w:val="Standard"/>
        <w:tabs>
          <w:tab w:val="left" w:pos="1025"/>
        </w:tabs>
        <w:spacing w:line="360" w:lineRule="auto"/>
        <w:jc w:val="both"/>
        <w:rPr>
          <w:rFonts w:ascii="Times New Roman" w:eastAsia="Times New Roman" w:hAnsi="Times New Roman" w:cs="Times New Roman"/>
          <w:color w:val="000000"/>
        </w:rPr>
      </w:pPr>
      <w:proofErr w:type="spellStart"/>
      <w:r>
        <w:rPr>
          <w:b/>
        </w:rPr>
        <w:t>Pró-reitoria</w:t>
      </w:r>
      <w:proofErr w:type="spellEnd"/>
      <w:r>
        <w:rPr>
          <w:b/>
        </w:rPr>
        <w:t xml:space="preserve"> de </w:t>
      </w:r>
      <w:r>
        <w:rPr>
          <w:b/>
          <w:sz w:val="23"/>
          <w:szCs w:val="23"/>
        </w:rPr>
        <w:t>Desenvolvimento Institucional (</w:t>
      </w:r>
      <w:proofErr w:type="spellStart"/>
      <w:r>
        <w:rPr>
          <w:b/>
          <w:sz w:val="23"/>
          <w:szCs w:val="23"/>
        </w:rPr>
        <w:t>Prodin</w:t>
      </w:r>
      <w:proofErr w:type="spellEnd"/>
      <w:r>
        <w:rPr>
          <w:b/>
          <w:sz w:val="23"/>
          <w:szCs w:val="23"/>
        </w:rPr>
        <w:t xml:space="preserve">) - </w:t>
      </w:r>
      <w:r w:rsidRPr="00A1445F">
        <w:rPr>
          <w:rFonts w:ascii="Times New Roman" w:eastAsia="Times New Roman" w:hAnsi="Times New Roman" w:cs="Times New Roman"/>
          <w:color w:val="000000"/>
        </w:rPr>
        <w:t xml:space="preserve">Compete promover a integração entre a reitoria e os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além de promover e coordenar os processos de planejamento estratégico e a avaliação institucional; de sistematização de dados, informações e de procedimentos institucionais, disponibilizando-os na forma de conhecimento estratégico; planejar</w:t>
      </w:r>
      <w:r>
        <w:rPr>
          <w:sz w:val="23"/>
          <w:szCs w:val="23"/>
        </w:rPr>
        <w:t xml:space="preserve"> </w:t>
      </w:r>
      <w:r w:rsidRPr="00A1445F">
        <w:rPr>
          <w:rFonts w:ascii="Times New Roman" w:eastAsia="Times New Roman" w:hAnsi="Times New Roman" w:cs="Times New Roman"/>
          <w:color w:val="000000"/>
        </w:rPr>
        <w:t xml:space="preserve">e coordenar as atividades relacionadas à tecnologia da informação e da comunicação, bem como outras atividades delegadas </w:t>
      </w:r>
      <w:r w:rsidRPr="00A1445F">
        <w:rPr>
          <w:rFonts w:ascii="Times New Roman" w:eastAsia="Times New Roman" w:hAnsi="Times New Roman" w:cs="Times New Roman"/>
          <w:color w:val="000000"/>
        </w:rPr>
        <w:lastRenderedPageBreak/>
        <w:t>pelo reitor. Conforme Regimento Geral, para cumprir suas competências, conta com a estrutura organizacional apresentada na Figura 2.4.</w:t>
      </w:r>
    </w:p>
    <w:p w14:paraId="0E9E0046" w14:textId="77777777" w:rsidR="00A23DD7" w:rsidRDefault="00A23DD7">
      <w:pPr>
        <w:pStyle w:val="Standard"/>
        <w:tabs>
          <w:tab w:val="left" w:pos="1025"/>
        </w:tabs>
        <w:spacing w:line="360" w:lineRule="auto"/>
        <w:jc w:val="both"/>
      </w:pPr>
    </w:p>
    <w:p w14:paraId="5E7D4429" w14:textId="35619E5A" w:rsidR="00A23DD7" w:rsidRDefault="00000000">
      <w:pPr>
        <w:pStyle w:val="Standard"/>
        <w:tabs>
          <w:tab w:val="left" w:pos="1025"/>
        </w:tabs>
        <w:spacing w:line="360" w:lineRule="auto"/>
        <w:jc w:val="both"/>
      </w:pPr>
      <w:r>
        <w:rPr>
          <w:noProof/>
        </w:rPr>
        <w:drawing>
          <wp:anchor distT="0" distB="0" distL="114300" distR="114300" simplePos="0" relativeHeight="23" behindDoc="0" locked="0" layoutInCell="1" allowOverlap="1" wp14:anchorId="5E5BD3B3" wp14:editId="03D574FD">
            <wp:simplePos x="0" y="0"/>
            <wp:positionH relativeFrom="column">
              <wp:posOffset>1790640</wp:posOffset>
            </wp:positionH>
            <wp:positionV relativeFrom="paragraph">
              <wp:posOffset>190440</wp:posOffset>
            </wp:positionV>
            <wp:extent cx="2198880" cy="2029319"/>
            <wp:effectExtent l="0" t="0" r="0" b="9031"/>
            <wp:wrapTopAndBottom/>
            <wp:docPr id="5" name="image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lum/>
                      <a:alphaModFix/>
                    </a:blip>
                    <a:srcRect/>
                    <a:stretch>
                      <a:fillRect/>
                    </a:stretch>
                  </pic:blipFill>
                  <pic:spPr>
                    <a:xfrm>
                      <a:off x="0" y="0"/>
                      <a:ext cx="2198880" cy="2029319"/>
                    </a:xfrm>
                    <a:prstGeom prst="rect">
                      <a:avLst/>
                    </a:prstGeom>
                    <a:noFill/>
                    <a:ln>
                      <a:noFill/>
                      <a:prstDash/>
                    </a:ln>
                  </pic:spPr>
                </pic:pic>
              </a:graphicData>
            </a:graphic>
          </wp:anchor>
        </w:drawing>
      </w:r>
    </w:p>
    <w:p w14:paraId="06ACC4B8" w14:textId="7D04B0B1" w:rsidR="00A23DD7" w:rsidRDefault="00A1445F">
      <w:pPr>
        <w:pStyle w:val="Standard"/>
        <w:tabs>
          <w:tab w:val="left" w:pos="1025"/>
        </w:tabs>
        <w:spacing w:line="360" w:lineRule="auto"/>
        <w:jc w:val="both"/>
      </w:pPr>
      <w:r>
        <w:rPr>
          <w:b/>
          <w:bCs/>
        </w:rPr>
        <w:t>Figura 2.4.</w:t>
      </w:r>
      <w:r>
        <w:t xml:space="preserve"> Organograma da </w:t>
      </w:r>
      <w:proofErr w:type="spellStart"/>
      <w:r>
        <w:t>Prodin</w:t>
      </w:r>
      <w:proofErr w:type="spellEnd"/>
      <w:r>
        <w:t>.</w:t>
      </w:r>
    </w:p>
    <w:p w14:paraId="2D0388EF" w14:textId="77777777" w:rsidR="00A23DD7" w:rsidRDefault="00000000">
      <w:pPr>
        <w:pStyle w:val="Standard"/>
        <w:tabs>
          <w:tab w:val="left" w:pos="1075"/>
        </w:tabs>
        <w:spacing w:line="360" w:lineRule="auto"/>
        <w:jc w:val="both"/>
      </w:pPr>
      <w:proofErr w:type="spellStart"/>
      <w:r>
        <w:rPr>
          <w:b/>
        </w:rPr>
        <w:t>Pró-reitoria</w:t>
      </w:r>
      <w:proofErr w:type="spellEnd"/>
      <w:r>
        <w:rPr>
          <w:b/>
        </w:rPr>
        <w:t xml:space="preserve"> de Ensino </w:t>
      </w:r>
      <w:r>
        <w:rPr>
          <w:b/>
          <w:sz w:val="23"/>
          <w:szCs w:val="23"/>
        </w:rPr>
        <w:t>(</w:t>
      </w:r>
      <w:proofErr w:type="spellStart"/>
      <w:r>
        <w:rPr>
          <w:b/>
          <w:sz w:val="23"/>
          <w:szCs w:val="23"/>
        </w:rPr>
        <w:t>Proen</w:t>
      </w:r>
      <w:proofErr w:type="spellEnd"/>
      <w:r>
        <w:rPr>
          <w:b/>
          <w:sz w:val="23"/>
          <w:szCs w:val="23"/>
        </w:rPr>
        <w:t xml:space="preserve">) - </w:t>
      </w:r>
      <w:r w:rsidRPr="00A1445F">
        <w:rPr>
          <w:rFonts w:ascii="Times New Roman" w:eastAsia="Times New Roman" w:hAnsi="Times New Roman" w:cs="Times New Roman"/>
          <w:color w:val="000000"/>
        </w:rPr>
        <w:t xml:space="preserve">Compete planejar, desenvolver, supervisionar e avaliar a execução das políticas de ensino homologadas pelo </w:t>
      </w:r>
      <w:proofErr w:type="spellStart"/>
      <w:r w:rsidRPr="00A1445F">
        <w:rPr>
          <w:rFonts w:ascii="Times New Roman" w:eastAsia="Times New Roman" w:hAnsi="Times New Roman" w:cs="Times New Roman"/>
          <w:color w:val="000000"/>
        </w:rPr>
        <w:t>Consup</w:t>
      </w:r>
      <w:proofErr w:type="spellEnd"/>
      <w:r w:rsidRPr="00A1445F">
        <w:rPr>
          <w:rFonts w:ascii="Times New Roman" w:eastAsia="Times New Roman" w:hAnsi="Times New Roman" w:cs="Times New Roman"/>
          <w:color w:val="000000"/>
        </w:rPr>
        <w:t xml:space="preserve"> e, a partir de orientações do reitor, em consonância com as diretrizes emanadas do MEC, promover ações que garantam a articulação entre o ensino, a pesquisa e a extensão. Conforme Regimento Geral, para cumprir suas competências, conta com a estrutura organizacional apresentada na Figura 2.5.</w:t>
      </w:r>
    </w:p>
    <w:p w14:paraId="7BA8F43D" w14:textId="77777777" w:rsidR="00A23DD7" w:rsidRDefault="00A23DD7">
      <w:pPr>
        <w:pStyle w:val="Standard"/>
        <w:tabs>
          <w:tab w:val="left" w:pos="1075"/>
        </w:tabs>
        <w:spacing w:line="360" w:lineRule="auto"/>
        <w:jc w:val="both"/>
      </w:pPr>
    </w:p>
    <w:p w14:paraId="1BAEC9F0" w14:textId="77777777" w:rsidR="00A23DD7" w:rsidRDefault="00000000">
      <w:pPr>
        <w:pStyle w:val="Standard"/>
        <w:tabs>
          <w:tab w:val="left" w:pos="1075"/>
        </w:tabs>
        <w:spacing w:after="120" w:line="360" w:lineRule="auto"/>
        <w:jc w:val="both"/>
      </w:pPr>
      <w:r>
        <w:rPr>
          <w:noProof/>
        </w:rPr>
        <w:drawing>
          <wp:anchor distT="0" distB="0" distL="114300" distR="114300" simplePos="0" relativeHeight="22" behindDoc="0" locked="0" layoutInCell="1" allowOverlap="1" wp14:anchorId="2EF5C429" wp14:editId="25731FDB">
            <wp:simplePos x="0" y="0"/>
            <wp:positionH relativeFrom="column">
              <wp:posOffset>809640</wp:posOffset>
            </wp:positionH>
            <wp:positionV relativeFrom="paragraph">
              <wp:posOffset>159480</wp:posOffset>
            </wp:positionV>
            <wp:extent cx="4161960" cy="1864440"/>
            <wp:effectExtent l="0" t="0" r="0" b="2460"/>
            <wp:wrapTopAndBottom/>
            <wp:docPr id="6" name="image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lum/>
                      <a:alphaModFix/>
                    </a:blip>
                    <a:srcRect/>
                    <a:stretch>
                      <a:fillRect/>
                    </a:stretch>
                  </pic:blipFill>
                  <pic:spPr>
                    <a:xfrm>
                      <a:off x="0" y="0"/>
                      <a:ext cx="4161960" cy="1864440"/>
                    </a:xfrm>
                    <a:prstGeom prst="rect">
                      <a:avLst/>
                    </a:prstGeom>
                    <a:noFill/>
                    <a:ln>
                      <a:noFill/>
                      <a:prstDash/>
                    </a:ln>
                  </pic:spPr>
                </pic:pic>
              </a:graphicData>
            </a:graphic>
          </wp:anchor>
        </w:drawing>
      </w:r>
      <w:r>
        <w:rPr>
          <w:b/>
          <w:bCs/>
        </w:rPr>
        <w:t>Figura 2.5.</w:t>
      </w:r>
      <w:r>
        <w:t xml:space="preserve"> Organograma da </w:t>
      </w:r>
      <w:proofErr w:type="spellStart"/>
      <w:r>
        <w:t>Proen</w:t>
      </w:r>
      <w:proofErr w:type="spellEnd"/>
      <w:r>
        <w:t>.</w:t>
      </w:r>
    </w:p>
    <w:p w14:paraId="1B85C6BE" w14:textId="77777777" w:rsidR="00A23DD7" w:rsidRPr="00A1445F" w:rsidRDefault="00000000">
      <w:pPr>
        <w:pStyle w:val="Standard"/>
        <w:tabs>
          <w:tab w:val="left" w:pos="1075"/>
        </w:tabs>
        <w:spacing w:after="120" w:line="360" w:lineRule="auto"/>
        <w:jc w:val="both"/>
        <w:rPr>
          <w:rFonts w:ascii="Times New Roman" w:eastAsia="Times New Roman" w:hAnsi="Times New Roman" w:cs="Times New Roman"/>
          <w:color w:val="000000"/>
        </w:rPr>
      </w:pPr>
      <w:proofErr w:type="spellStart"/>
      <w:r>
        <w:rPr>
          <w:b/>
        </w:rPr>
        <w:t>Pró-reitoria</w:t>
      </w:r>
      <w:proofErr w:type="spellEnd"/>
      <w:r>
        <w:rPr>
          <w:b/>
        </w:rPr>
        <w:t xml:space="preserve"> de Extensão e Relações Externas (Proex) – </w:t>
      </w:r>
      <w:r w:rsidRPr="00A1445F">
        <w:rPr>
          <w:rFonts w:ascii="Times New Roman" w:eastAsia="Times New Roman" w:hAnsi="Times New Roman" w:cs="Times New Roman"/>
          <w:color w:val="000000"/>
        </w:rPr>
        <w:t>Compete planejar, desenvolver, controlar e avaliar as políticas de extensão, de integração e de intercâmbio da instituição com o setor produtivo</w:t>
      </w:r>
      <w:r>
        <w:rPr>
          <w:sz w:val="23"/>
          <w:szCs w:val="23"/>
        </w:rPr>
        <w:t xml:space="preserve"> </w:t>
      </w:r>
      <w:r w:rsidRPr="00A1445F">
        <w:rPr>
          <w:rFonts w:ascii="Times New Roman" w:eastAsia="Times New Roman" w:hAnsi="Times New Roman" w:cs="Times New Roman"/>
          <w:color w:val="000000"/>
        </w:rPr>
        <w:lastRenderedPageBreak/>
        <w:t xml:space="preserve">e a sociedade em geral, homologadas pelo </w:t>
      </w:r>
      <w:proofErr w:type="spellStart"/>
      <w:r w:rsidRPr="00A1445F">
        <w:rPr>
          <w:rFonts w:ascii="Times New Roman" w:eastAsia="Times New Roman" w:hAnsi="Times New Roman" w:cs="Times New Roman"/>
          <w:color w:val="000000"/>
        </w:rPr>
        <w:t>Consup</w:t>
      </w:r>
      <w:proofErr w:type="spellEnd"/>
      <w:r w:rsidRPr="00A1445F">
        <w:rPr>
          <w:rFonts w:ascii="Times New Roman" w:eastAsia="Times New Roman" w:hAnsi="Times New Roman" w:cs="Times New Roman"/>
          <w:color w:val="000000"/>
        </w:rPr>
        <w:t>. Além disso, compete coordenar os processos de divulgação e comunicação institucional e, a partir de orientações do reitor, promover ações que garantam a articulação entre o ensino, a pesquisa e a extensão. Conforme Regimento Geral, para cumprir suas competências, conta com a estrutura organizacional apresentada na Figura 2.6.</w:t>
      </w:r>
    </w:p>
    <w:p w14:paraId="76263698" w14:textId="77777777" w:rsidR="00A23DD7" w:rsidRDefault="00000000">
      <w:pPr>
        <w:pStyle w:val="Standard"/>
        <w:tabs>
          <w:tab w:val="left" w:pos="1075"/>
        </w:tabs>
        <w:spacing w:after="120" w:line="360" w:lineRule="auto"/>
        <w:jc w:val="both"/>
      </w:pPr>
      <w:r>
        <w:rPr>
          <w:noProof/>
        </w:rPr>
        <w:drawing>
          <wp:anchor distT="0" distB="0" distL="114300" distR="114300" simplePos="0" relativeHeight="21" behindDoc="0" locked="0" layoutInCell="1" allowOverlap="1" wp14:anchorId="4C99C88F" wp14:editId="42AFF209">
            <wp:simplePos x="0" y="0"/>
            <wp:positionH relativeFrom="column">
              <wp:posOffset>1676519</wp:posOffset>
            </wp:positionH>
            <wp:positionV relativeFrom="paragraph">
              <wp:posOffset>377280</wp:posOffset>
            </wp:positionV>
            <wp:extent cx="1685160" cy="1517039"/>
            <wp:effectExtent l="0" t="0" r="0" b="6961"/>
            <wp:wrapTopAndBottom/>
            <wp:docPr id="7"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a:alphaModFix/>
                    </a:blip>
                    <a:srcRect/>
                    <a:stretch>
                      <a:fillRect/>
                    </a:stretch>
                  </pic:blipFill>
                  <pic:spPr>
                    <a:xfrm>
                      <a:off x="0" y="0"/>
                      <a:ext cx="1685160" cy="1517039"/>
                    </a:xfrm>
                    <a:prstGeom prst="rect">
                      <a:avLst/>
                    </a:prstGeom>
                    <a:noFill/>
                    <a:ln>
                      <a:noFill/>
                      <a:prstDash/>
                    </a:ln>
                  </pic:spPr>
                </pic:pic>
              </a:graphicData>
            </a:graphic>
          </wp:anchor>
        </w:drawing>
      </w:r>
    </w:p>
    <w:p w14:paraId="330961AD" w14:textId="77777777" w:rsidR="00A23DD7" w:rsidRDefault="00000000">
      <w:pPr>
        <w:pStyle w:val="Standard"/>
        <w:tabs>
          <w:tab w:val="left" w:pos="1075"/>
        </w:tabs>
        <w:spacing w:after="120" w:line="360" w:lineRule="auto"/>
        <w:jc w:val="both"/>
      </w:pPr>
      <w:r>
        <w:rPr>
          <w:b/>
          <w:bCs/>
        </w:rPr>
        <w:t>Figura 2.6.</w:t>
      </w:r>
      <w:r>
        <w:t xml:space="preserve"> Organograma da Proex.</w:t>
      </w:r>
    </w:p>
    <w:p w14:paraId="09F4F873" w14:textId="77777777" w:rsidR="00A23DD7" w:rsidRPr="00A1445F" w:rsidRDefault="00000000">
      <w:pPr>
        <w:pStyle w:val="Standard"/>
        <w:tabs>
          <w:tab w:val="left" w:pos="1075"/>
        </w:tabs>
        <w:spacing w:after="120" w:line="360" w:lineRule="auto"/>
        <w:jc w:val="both"/>
        <w:rPr>
          <w:rFonts w:ascii="Times New Roman" w:eastAsia="Times New Roman" w:hAnsi="Times New Roman" w:cs="Times New Roman"/>
          <w:color w:val="000000"/>
        </w:rPr>
      </w:pPr>
      <w:proofErr w:type="spellStart"/>
      <w:r>
        <w:rPr>
          <w:b/>
        </w:rPr>
        <w:t>Pró-reitoria</w:t>
      </w:r>
      <w:proofErr w:type="spellEnd"/>
      <w:r>
        <w:rPr>
          <w:b/>
        </w:rPr>
        <w:t xml:space="preserve"> de Pesquisa, Pós-Graduação e Inovação </w:t>
      </w:r>
      <w:r>
        <w:rPr>
          <w:b/>
          <w:sz w:val="23"/>
          <w:szCs w:val="23"/>
        </w:rPr>
        <w:t>(</w:t>
      </w:r>
      <w:proofErr w:type="spellStart"/>
      <w:r>
        <w:rPr>
          <w:b/>
          <w:sz w:val="23"/>
          <w:szCs w:val="23"/>
        </w:rPr>
        <w:t>Proppi</w:t>
      </w:r>
      <w:proofErr w:type="spellEnd"/>
      <w:r>
        <w:rPr>
          <w:b/>
          <w:sz w:val="23"/>
          <w:szCs w:val="23"/>
        </w:rPr>
        <w:t xml:space="preserve">) – </w:t>
      </w:r>
      <w:r w:rsidRPr="00A1445F">
        <w:rPr>
          <w:rFonts w:ascii="Times New Roman" w:eastAsia="Times New Roman" w:hAnsi="Times New Roman" w:cs="Times New Roman"/>
          <w:color w:val="000000"/>
        </w:rPr>
        <w:t>Compete propor, planejar, desenvolver, articular, controlar e avaliar a execução das políticas de Pesquisa, Pós-graduação, Inovação e Assuntos Internacionais</w:t>
      </w:r>
      <w:r w:rsidRPr="00A1445F">
        <w:rPr>
          <w:rFonts w:ascii="Times New Roman" w:eastAsia="Times New Roman" w:hAnsi="Times New Roman" w:cs="Times New Roman"/>
          <w:color w:val="000000"/>
        </w:rPr>
        <w:footnoteReference w:id="2"/>
      </w:r>
      <w:r w:rsidRPr="00A1445F">
        <w:rPr>
          <w:rFonts w:ascii="Times New Roman" w:eastAsia="Times New Roman" w:hAnsi="Times New Roman" w:cs="Times New Roman"/>
          <w:color w:val="000000"/>
        </w:rPr>
        <w:t xml:space="preserve"> homologadas pelo </w:t>
      </w:r>
      <w:proofErr w:type="spellStart"/>
      <w:r w:rsidRPr="00A1445F">
        <w:rPr>
          <w:rFonts w:ascii="Times New Roman" w:eastAsia="Times New Roman" w:hAnsi="Times New Roman" w:cs="Times New Roman"/>
          <w:color w:val="000000"/>
        </w:rPr>
        <w:t>Consup</w:t>
      </w:r>
      <w:proofErr w:type="spellEnd"/>
      <w:r w:rsidRPr="00A1445F">
        <w:rPr>
          <w:rFonts w:ascii="Times New Roman" w:eastAsia="Times New Roman" w:hAnsi="Times New Roman" w:cs="Times New Roman"/>
          <w:color w:val="000000"/>
        </w:rPr>
        <w:t xml:space="preserve"> e, a partir de orientações do reitor, em consonância com as diretrizes emanadas do MEC e do Ministério de Ciência e Tecnologia, coordenar os processos de edição de publicações técnico-científicas e promover ações que garantam a articulação entre o ensino, a pesquisa e a extensão. Conforme Regimento Geral, para cumprir suas competências, conta com a estrutura organizacional apresentada na Figura 2.7.</w:t>
      </w:r>
    </w:p>
    <w:p w14:paraId="15EC1C03" w14:textId="77777777" w:rsidR="00A23DD7" w:rsidRDefault="00A23DD7">
      <w:pPr>
        <w:pStyle w:val="Standard"/>
        <w:tabs>
          <w:tab w:val="left" w:pos="1075"/>
        </w:tabs>
        <w:spacing w:after="120" w:line="360" w:lineRule="auto"/>
        <w:jc w:val="both"/>
      </w:pPr>
    </w:p>
    <w:p w14:paraId="1DFB5677" w14:textId="77777777" w:rsidR="00A23DD7" w:rsidRDefault="00000000">
      <w:pPr>
        <w:pStyle w:val="Standard"/>
        <w:tabs>
          <w:tab w:val="left" w:pos="1075"/>
        </w:tabs>
        <w:spacing w:after="120" w:line="360" w:lineRule="auto"/>
        <w:jc w:val="both"/>
      </w:pPr>
      <w:r>
        <w:rPr>
          <w:noProof/>
        </w:rPr>
        <w:lastRenderedPageBreak/>
        <w:drawing>
          <wp:anchor distT="0" distB="0" distL="114300" distR="114300" simplePos="0" relativeHeight="20" behindDoc="0" locked="0" layoutInCell="1" allowOverlap="1" wp14:anchorId="72E5262C" wp14:editId="5BF65D32">
            <wp:simplePos x="0" y="0"/>
            <wp:positionH relativeFrom="column">
              <wp:posOffset>1886040</wp:posOffset>
            </wp:positionH>
            <wp:positionV relativeFrom="paragraph">
              <wp:posOffset>137160</wp:posOffset>
            </wp:positionV>
            <wp:extent cx="1830600" cy="1781280"/>
            <wp:effectExtent l="0" t="0" r="0" b="9420"/>
            <wp:wrapTopAndBottom/>
            <wp:docPr id="8" name="image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lum/>
                      <a:alphaModFix/>
                    </a:blip>
                    <a:srcRect/>
                    <a:stretch>
                      <a:fillRect/>
                    </a:stretch>
                  </pic:blipFill>
                  <pic:spPr>
                    <a:xfrm>
                      <a:off x="0" y="0"/>
                      <a:ext cx="1830600" cy="1781280"/>
                    </a:xfrm>
                    <a:prstGeom prst="rect">
                      <a:avLst/>
                    </a:prstGeom>
                    <a:noFill/>
                    <a:ln>
                      <a:noFill/>
                      <a:prstDash/>
                    </a:ln>
                  </pic:spPr>
                </pic:pic>
              </a:graphicData>
            </a:graphic>
          </wp:anchor>
        </w:drawing>
      </w:r>
      <w:r>
        <w:rPr>
          <w:b/>
          <w:bCs/>
        </w:rPr>
        <w:t>Figura 2.7</w:t>
      </w:r>
      <w:r>
        <w:t xml:space="preserve">. Organograma da </w:t>
      </w:r>
      <w:proofErr w:type="spellStart"/>
      <w:r>
        <w:t>Proppi</w:t>
      </w:r>
      <w:proofErr w:type="spellEnd"/>
      <w:r>
        <w:t>.</w:t>
      </w:r>
    </w:p>
    <w:p w14:paraId="4E30CF9F" w14:textId="77777777" w:rsidR="00A23DD7" w:rsidRDefault="00000000">
      <w:pPr>
        <w:pStyle w:val="Ttulo2"/>
        <w:numPr>
          <w:ilvl w:val="1"/>
          <w:numId w:val="1"/>
        </w:numPr>
        <w:spacing w:line="360" w:lineRule="auto"/>
        <w:ind w:left="0" w:firstLine="0"/>
      </w:pPr>
      <w:bookmarkStart w:id="8" w:name="_4d34og8"/>
      <w:bookmarkEnd w:id="8"/>
      <w:r>
        <w:t>ÓRGÃOS DE ASSESSORAMENTO</w:t>
      </w:r>
    </w:p>
    <w:p w14:paraId="4199F009" w14:textId="77777777" w:rsidR="00A23DD7" w:rsidRDefault="00000000">
      <w:pPr>
        <w:pStyle w:val="Ttulo3"/>
        <w:numPr>
          <w:ilvl w:val="2"/>
          <w:numId w:val="1"/>
        </w:numPr>
      </w:pPr>
      <w:bookmarkStart w:id="9" w:name="_2s8eyo1"/>
      <w:bookmarkEnd w:id="9"/>
      <w:r>
        <w:t>Colegiado de Desenvolvimento de Pessoas (CDP)</w:t>
      </w:r>
    </w:p>
    <w:p w14:paraId="499A6AFA"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b/>
      </w:r>
      <w:r w:rsidRPr="00A1445F">
        <w:rPr>
          <w:rFonts w:ascii="Times New Roman" w:eastAsia="Times New Roman" w:hAnsi="Times New Roman" w:cs="Times New Roman"/>
          <w:color w:val="000000"/>
        </w:rPr>
        <w:t>O CDP é o órgão normativo e consultivo que tem por finalidade subsidiar a Reitoria nos encaminhamentos das políticas de pessoal. É presidido pelo ocupante do cargo de pró-reitor de administração e, na sua ausência, pelo diretor de gestão de pessoas. Compõem, ainda, esse colegiado, na qualidade de membros natos, o pró-reitor de ensino, o pró-reitor de desenvolvimento institucional e o diretor de gestão de pessoas, e escolhidos pelos seus pares, a Comissão Permanente de Pessoal Docente (CPPD) e a Comissão Interna de Supervisão (CIS). Sua estrutura e competências podem ser consultadas no Regimento Geral do IFSC.</w:t>
      </w:r>
    </w:p>
    <w:p w14:paraId="4406CD44" w14:textId="77777777" w:rsidR="00A23DD7" w:rsidRPr="00A1445F" w:rsidRDefault="00000000">
      <w:pPr>
        <w:pStyle w:val="Standard"/>
        <w:numPr>
          <w:ilvl w:val="0"/>
          <w:numId w:val="9"/>
        </w:numPr>
        <w:spacing w:after="120" w:line="360" w:lineRule="auto"/>
        <w:jc w:val="both"/>
        <w:rPr>
          <w:rFonts w:ascii="Times New Roman" w:eastAsia="Times New Roman" w:hAnsi="Times New Roman" w:cs="Times New Roman"/>
          <w:color w:val="000000"/>
        </w:rPr>
      </w:pPr>
      <w:r>
        <w:rPr>
          <w:b/>
          <w:sz w:val="23"/>
          <w:szCs w:val="23"/>
        </w:rPr>
        <w:t xml:space="preserve">Comissão Permanente de Pessoal Docente (CPPD) - </w:t>
      </w:r>
      <w:r w:rsidRPr="00A1445F">
        <w:rPr>
          <w:rFonts w:ascii="Times New Roman" w:eastAsia="Times New Roman" w:hAnsi="Times New Roman" w:cs="Times New Roman"/>
          <w:color w:val="000000"/>
        </w:rPr>
        <w:t>Formula os procedimentos relativos ao pessoal docente e acompanha a execução desses procedimentos. Ela é composta por três professores do quadro permanente do IFSC que estejam no efetivo exercício. Suas atribuições podem ser consultadas no Regimento Interno do CDP.</w:t>
      </w:r>
    </w:p>
    <w:p w14:paraId="53FD7860" w14:textId="77777777" w:rsidR="00A23DD7" w:rsidRPr="00A1445F" w:rsidRDefault="00000000">
      <w:pPr>
        <w:pStyle w:val="Standard"/>
        <w:numPr>
          <w:ilvl w:val="0"/>
          <w:numId w:val="9"/>
        </w:numPr>
        <w:spacing w:after="120" w:line="360" w:lineRule="auto"/>
        <w:jc w:val="both"/>
        <w:rPr>
          <w:rFonts w:ascii="Times New Roman" w:eastAsia="Times New Roman" w:hAnsi="Times New Roman" w:cs="Times New Roman"/>
          <w:color w:val="000000"/>
        </w:rPr>
      </w:pPr>
      <w:r>
        <w:rPr>
          <w:b/>
          <w:sz w:val="23"/>
          <w:szCs w:val="23"/>
        </w:rPr>
        <w:t xml:space="preserve">Comissão Interna de Supervisão (CIS) - </w:t>
      </w:r>
      <w:r w:rsidRPr="00A1445F">
        <w:rPr>
          <w:rFonts w:ascii="Times New Roman" w:eastAsia="Times New Roman" w:hAnsi="Times New Roman" w:cs="Times New Roman"/>
          <w:color w:val="000000"/>
        </w:rPr>
        <w:t>Responsável por acompanhar, orientar, fiscalizar e avaliar a implementação do Plano de Carreira dos servidores técnico-administrativos em educação do IFSC. A comissão é composta por servidores e servidoras técnico-administrativos em educação no âmbito do IFSC e tem a função de propor, à Comissão Nacional de Supervisão, as alterações necessárias para seu aprimoramento. Suas atribuições podem ser consultadas no Regimento Interno do CDP.</w:t>
      </w:r>
    </w:p>
    <w:p w14:paraId="3DFFF070" w14:textId="77777777" w:rsidR="00A23DD7" w:rsidRDefault="00000000">
      <w:pPr>
        <w:pStyle w:val="Ttulo3"/>
        <w:numPr>
          <w:ilvl w:val="2"/>
          <w:numId w:val="1"/>
        </w:numPr>
      </w:pPr>
      <w:bookmarkStart w:id="10" w:name="_17dp8vu"/>
      <w:bookmarkEnd w:id="10"/>
      <w:r>
        <w:rPr>
          <w:sz w:val="23"/>
          <w:szCs w:val="23"/>
        </w:rPr>
        <w:lastRenderedPageBreak/>
        <w:t>Colegiado de Ensino, Pesquisa e Extensão (Cepe)</w:t>
      </w:r>
    </w:p>
    <w:p w14:paraId="1EB7D24E" w14:textId="77777777" w:rsidR="00A23DD7" w:rsidRPr="00A1445F" w:rsidRDefault="00000000">
      <w:pPr>
        <w:pStyle w:val="Standard"/>
        <w:spacing w:after="120" w:line="360" w:lineRule="auto"/>
        <w:jc w:val="both"/>
        <w:rPr>
          <w:rFonts w:ascii="Times New Roman" w:eastAsia="Times New Roman" w:hAnsi="Times New Roman" w:cs="Times New Roman"/>
          <w:color w:val="000000"/>
        </w:rPr>
      </w:pPr>
      <w:r>
        <w:rPr>
          <w:sz w:val="23"/>
          <w:szCs w:val="23"/>
        </w:rPr>
        <w:tab/>
      </w:r>
      <w:r w:rsidRPr="00A1445F">
        <w:rPr>
          <w:rFonts w:ascii="Times New Roman" w:eastAsia="Times New Roman" w:hAnsi="Times New Roman" w:cs="Times New Roman"/>
          <w:color w:val="000000"/>
        </w:rPr>
        <w:t>O Colegiado de Ensino, Pesquisa e Extensão (Cepe) é um órgão normativo e consultivo, de assessoramento da reitoria no que diz respeito às políticas de ensino, pesquisa e extensão. É formado por representantes dos professores e das professoras e dos técnicos administrativos e das técnicas administrativas; discentes; além dos pró-reitores de ensino (presidente); de extensão e relações externas; e de pesquisa, pós-graduação e inovação e dos diretores sistêmicos de ensino; pesquisa e pós-graduação; e de extensão. Passam pelo Cepe, por exemplo, todas as propostas de criação, reestruturação e extinção de cursos do IFSC, assim como suspensão de oferta de vagas. Sua estrutura e competências são descritas no Regimento Geral do IFSC.</w:t>
      </w:r>
    </w:p>
    <w:p w14:paraId="0D0BB71B" w14:textId="77777777" w:rsidR="00A23DD7" w:rsidRDefault="00000000">
      <w:pPr>
        <w:pStyle w:val="Ttulo3"/>
        <w:numPr>
          <w:ilvl w:val="2"/>
          <w:numId w:val="1"/>
        </w:numPr>
        <w:rPr>
          <w:sz w:val="23"/>
          <w:szCs w:val="23"/>
        </w:rPr>
      </w:pPr>
      <w:bookmarkStart w:id="11" w:name="_3rdcrjn"/>
      <w:bookmarkEnd w:id="11"/>
      <w:r>
        <w:rPr>
          <w:sz w:val="23"/>
          <w:szCs w:val="23"/>
        </w:rPr>
        <w:t>Comissão Própria de Avaliação (CPA)</w:t>
      </w:r>
    </w:p>
    <w:p w14:paraId="157C4633"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bookmarkStart w:id="12" w:name="_26in1rg"/>
      <w:bookmarkEnd w:id="12"/>
      <w:r>
        <w:rPr>
          <w:rFonts w:ascii="Times New Roman" w:eastAsia="Times New Roman" w:hAnsi="Times New Roman" w:cs="Times New Roman"/>
          <w:color w:val="000000"/>
          <w:sz w:val="23"/>
          <w:szCs w:val="23"/>
        </w:rPr>
        <w:tab/>
      </w:r>
      <w:r w:rsidRPr="00A1445F">
        <w:rPr>
          <w:rFonts w:ascii="Times New Roman" w:eastAsia="Times New Roman" w:hAnsi="Times New Roman" w:cs="Times New Roman"/>
          <w:color w:val="000000"/>
        </w:rPr>
        <w:t xml:space="preserve">Com a Lei n° 10.861/2004, que instituiu o Sistema Nacional de Avaliação da Educação Superior (Sinaes), toda instituição educacional, pública ou privada, deve constituir Comissão Própria de Avaliação (CPA), com as atribuições de conduzir os processos de avaliação internos da instituição, bem como de sistematizar e prestar as informações solicitadas pelo Instituto Nacional de Estudos e Pesquisas Educacionais Anísio Teixeira (Inep). A comissão é constituída por uma comissão central, composta por representantes docentes, discentes, técnico-administrativos e da sociedade civil, e por comissões locais nos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e na reitoria. As comissões locais dos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são compostas por representantes docentes, discentes e técnico-administrativos, enquanto a comissão local na Reitoria é composta por representantes dos seus servidores técnico-administrativos. Suas competências podem ser verificadas no Regimento Geral do IFSC.</w:t>
      </w:r>
    </w:p>
    <w:p w14:paraId="5B9DDFA1" w14:textId="77777777" w:rsidR="00A23DD7" w:rsidRDefault="00000000">
      <w:pPr>
        <w:pStyle w:val="Ttulo3"/>
        <w:numPr>
          <w:ilvl w:val="2"/>
          <w:numId w:val="1"/>
        </w:numPr>
      </w:pPr>
      <w:bookmarkStart w:id="13" w:name="_lnxbz9"/>
      <w:bookmarkEnd w:id="13"/>
      <w:r>
        <w:t>Outros órgãos de assessoramento</w:t>
      </w:r>
    </w:p>
    <w:p w14:paraId="5298F9CE" w14:textId="77777777" w:rsidR="00A23DD7" w:rsidRDefault="00000000">
      <w:pPr>
        <w:pStyle w:val="Standard"/>
        <w:spacing w:after="57" w:line="360" w:lineRule="auto"/>
        <w:jc w:val="both"/>
      </w:pPr>
      <w:r>
        <w:rPr>
          <w:rFonts w:ascii="Times New Roman" w:eastAsia="Times New Roman" w:hAnsi="Times New Roman" w:cs="Times New Roman"/>
          <w:color w:val="000000"/>
          <w:sz w:val="23"/>
          <w:szCs w:val="23"/>
        </w:rPr>
        <w:tab/>
      </w:r>
      <w:r w:rsidRPr="00A1445F">
        <w:rPr>
          <w:rFonts w:ascii="Times New Roman" w:eastAsia="Times New Roman" w:hAnsi="Times New Roman" w:cs="Times New Roman"/>
          <w:color w:val="000000"/>
        </w:rPr>
        <w:t>Além dos órgãos de assessoramento previstos no Regimento Geral, o IFSC conta com um conjunto de comitês, comissões permanentes e conselhos, que auxiliam a gestão em temas específicos. Na grande maioria, a criação destes órgãos está prevista na legislação que rege o tema e sua composição, funcionamento e competências podem ser verificados nas suas respectivas portarias de constituição</w:t>
      </w:r>
      <w:r>
        <w:rPr>
          <w:rFonts w:ascii="Times New Roman" w:eastAsia="Times New Roman" w:hAnsi="Times New Roman" w:cs="Times New Roman"/>
          <w:color w:val="000000"/>
          <w:sz w:val="23"/>
          <w:szCs w:val="23"/>
        </w:rPr>
        <w:t xml:space="preserve">. </w:t>
      </w:r>
      <w:hyperlink r:id="rId37" w:history="1">
        <w:r>
          <w:rPr>
            <w:color w:val="1155CC"/>
            <w:sz w:val="23"/>
            <w:szCs w:val="23"/>
            <w:u w:val="single"/>
          </w:rPr>
          <w:t>Saiba mais sobre as comissões permanentes e temporárias e os outros colegiados do IFSC clicando aqui.</w:t>
        </w:r>
      </w:hyperlink>
    </w:p>
    <w:p w14:paraId="51B43744" w14:textId="77777777" w:rsidR="00A23DD7" w:rsidRDefault="00000000">
      <w:pPr>
        <w:pStyle w:val="Ttulo2"/>
        <w:numPr>
          <w:ilvl w:val="1"/>
          <w:numId w:val="1"/>
        </w:numPr>
        <w:ind w:left="0" w:firstLine="0"/>
      </w:pPr>
      <w:bookmarkStart w:id="14" w:name="_1ksv4uv"/>
      <w:bookmarkEnd w:id="14"/>
      <w:r>
        <w:lastRenderedPageBreak/>
        <w:t>ÓRGÃO DE CONTROLE – AUDITORIA INTERNA GOVERNAMENTAL</w:t>
      </w:r>
    </w:p>
    <w:p w14:paraId="09B906F8" w14:textId="77777777" w:rsidR="00A23DD7" w:rsidRDefault="00000000">
      <w:pPr>
        <w:pStyle w:val="Standard"/>
        <w:spacing w:after="57" w:line="360" w:lineRule="auto"/>
        <w:jc w:val="both"/>
      </w:pPr>
      <w:r>
        <w:tab/>
      </w:r>
      <w:r w:rsidRPr="00A1445F">
        <w:rPr>
          <w:rFonts w:ascii="Times New Roman" w:eastAsia="Times New Roman" w:hAnsi="Times New Roman" w:cs="Times New Roman"/>
          <w:color w:val="000000"/>
        </w:rPr>
        <w:t>A Auditoria Interna Governamental do IFSC (</w:t>
      </w:r>
      <w:proofErr w:type="spellStart"/>
      <w:r w:rsidRPr="00A1445F">
        <w:rPr>
          <w:rFonts w:ascii="Times New Roman" w:eastAsia="Times New Roman" w:hAnsi="Times New Roman" w:cs="Times New Roman"/>
          <w:color w:val="000000"/>
        </w:rPr>
        <w:t>Audin</w:t>
      </w:r>
      <w:proofErr w:type="spellEnd"/>
      <w:r w:rsidRPr="00A1445F">
        <w:rPr>
          <w:rFonts w:ascii="Times New Roman" w:eastAsia="Times New Roman" w:hAnsi="Times New Roman" w:cs="Times New Roman"/>
          <w:color w:val="000000"/>
        </w:rPr>
        <w:t xml:space="preserve">) é uma unidade administrativa especializada e específica, que desempenha atividade independente e objetiva de avaliação e de consultoria, desenhada para adicionar valor e melhorar as operações da entidade. Atua através de uma estrutura de duplo reporte, funcional e administrativo, ao Conselho Superior e ao reitor, respectivamente, vedada a delegação. Sujeita-se às orientações normativas e supervisão técnica do Sistema de Controle Interno do Poder Executivo Federal. É dirigida por um </w:t>
      </w:r>
      <w:proofErr w:type="spellStart"/>
      <w:r w:rsidRPr="00A1445F">
        <w:rPr>
          <w:rFonts w:ascii="Times New Roman" w:eastAsia="Times New Roman" w:hAnsi="Times New Roman" w:cs="Times New Roman"/>
          <w:color w:val="000000"/>
        </w:rPr>
        <w:t>auditor-chefe</w:t>
      </w:r>
      <w:proofErr w:type="spellEnd"/>
      <w:r w:rsidRPr="00A1445F">
        <w:rPr>
          <w:rFonts w:ascii="Times New Roman" w:eastAsia="Times New Roman" w:hAnsi="Times New Roman" w:cs="Times New Roman"/>
          <w:color w:val="000000"/>
        </w:rPr>
        <w:t>, designado pelo Reitor, e atualmente está dividida em duas estruturas integradas: Auditoria Geral e Auditorias Regionais</w:t>
      </w:r>
      <w:r>
        <w:t xml:space="preserve">. </w:t>
      </w:r>
      <w:hyperlink r:id="rId38" w:history="1">
        <w:r>
          <w:rPr>
            <w:color w:val="1155CC"/>
            <w:u w:val="single"/>
          </w:rPr>
          <w:t xml:space="preserve">Conheça mais sobre a </w:t>
        </w:r>
        <w:proofErr w:type="spellStart"/>
        <w:r>
          <w:rPr>
            <w:color w:val="1155CC"/>
            <w:u w:val="single"/>
          </w:rPr>
          <w:t>Audin</w:t>
        </w:r>
        <w:proofErr w:type="spellEnd"/>
        <w:r>
          <w:rPr>
            <w:color w:val="1155CC"/>
            <w:u w:val="single"/>
          </w:rPr>
          <w:t xml:space="preserve"> clicando aqui. </w:t>
        </w:r>
      </w:hyperlink>
    </w:p>
    <w:p w14:paraId="1A4D14B7" w14:textId="77777777" w:rsidR="00A23DD7" w:rsidRDefault="00000000">
      <w:pPr>
        <w:pStyle w:val="Ttulo2"/>
        <w:numPr>
          <w:ilvl w:val="1"/>
          <w:numId w:val="1"/>
        </w:numPr>
        <w:ind w:left="0" w:firstLine="0"/>
      </w:pPr>
      <w:bookmarkStart w:id="15" w:name="_44sinio"/>
      <w:bookmarkEnd w:id="15"/>
      <w:r>
        <w:t>PROCURADORIA FEDERAL JUNTO AO IFSC</w:t>
      </w:r>
    </w:p>
    <w:p w14:paraId="1A2061F0" w14:textId="77777777" w:rsidR="00A23DD7" w:rsidRDefault="00000000">
      <w:pPr>
        <w:pStyle w:val="Standard"/>
        <w:spacing w:after="57" w:line="360" w:lineRule="auto"/>
        <w:jc w:val="both"/>
      </w:pPr>
      <w:r>
        <w:rPr>
          <w:rFonts w:ascii="Times New Roman" w:eastAsia="Times New Roman" w:hAnsi="Times New Roman" w:cs="Times New Roman"/>
          <w:color w:val="000000"/>
        </w:rPr>
        <w:tab/>
        <w:t xml:space="preserve">O IFSC conta com uma Procuradoria Federal vinculada à Procuradoria Geral Federal (PGF), responsável </w:t>
      </w:r>
      <w:r w:rsidRPr="00A1445F">
        <w:rPr>
          <w:rFonts w:ascii="Times New Roman" w:eastAsia="Times New Roman" w:hAnsi="Times New Roman" w:cs="Times New Roman"/>
          <w:color w:val="000000"/>
        </w:rPr>
        <w:t>por atividades de consultoria e assessoramento jurídicos ao reitor, definição de teses jurídicas e estratégias processuais, coordenação de representação judicial da Autarquia, decisão acerca do ajuizamento de ações, dentre outros</w:t>
      </w:r>
      <w:r>
        <w:t xml:space="preserve">. </w:t>
      </w:r>
      <w:hyperlink r:id="rId39" w:history="1">
        <w:r>
          <w:rPr>
            <w:color w:val="1155CC"/>
            <w:u w:val="single"/>
          </w:rPr>
          <w:t xml:space="preserve">Conheça mais sobre a atuação da Procuradoria Federal junto ao IFSC clicando aqui. </w:t>
        </w:r>
      </w:hyperlink>
    </w:p>
    <w:p w14:paraId="6759E32A" w14:textId="77777777" w:rsidR="00A23DD7" w:rsidRDefault="00000000">
      <w:pPr>
        <w:pStyle w:val="Ttulo2"/>
        <w:numPr>
          <w:ilvl w:val="1"/>
          <w:numId w:val="1"/>
        </w:numPr>
        <w:ind w:left="0" w:firstLine="0"/>
      </w:pPr>
      <w:bookmarkStart w:id="16" w:name="_2jxsxqh"/>
      <w:bookmarkEnd w:id="16"/>
      <w:r>
        <w:t>ÓRGÃOS DE ATIVIDADES FINALÍSTICAS</w:t>
      </w:r>
    </w:p>
    <w:p w14:paraId="7E6CBE30" w14:textId="77777777" w:rsidR="00A23DD7" w:rsidRDefault="00000000">
      <w:pPr>
        <w:pStyle w:val="Ttulo3"/>
        <w:numPr>
          <w:ilvl w:val="2"/>
          <w:numId w:val="1"/>
        </w:numPr>
      </w:pPr>
      <w:bookmarkStart w:id="17" w:name="_z337ya"/>
      <w:bookmarkEnd w:id="17"/>
      <w:r>
        <w:t>Câmpus</w:t>
      </w:r>
    </w:p>
    <w:p w14:paraId="2CC921E9"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b/>
      </w:r>
      <w:r w:rsidRPr="00A1445F">
        <w:rPr>
          <w:rFonts w:ascii="Times New Roman" w:eastAsia="Times New Roman" w:hAnsi="Times New Roman" w:cs="Times New Roman"/>
          <w:color w:val="000000"/>
        </w:rPr>
        <w:t xml:space="preserve">Os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do IFSC são administrados por diretores-gerais, competindo-lhes a supervisão dos programas de ensino, pesquisa e extensão e a gestão das atividades administrativas, dentro dos regimes estatutários, regimentais e delegações do reitor. Sua estrutura de referência, conforme disposta no Regimento Geral do IFSC, é composta por:</w:t>
      </w:r>
    </w:p>
    <w:p w14:paraId="3B26C5D4" w14:textId="77777777" w:rsidR="00A23DD7" w:rsidRDefault="00A23DD7">
      <w:pPr>
        <w:pStyle w:val="Standard"/>
        <w:spacing w:after="57" w:line="360" w:lineRule="auto"/>
        <w:jc w:val="both"/>
        <w:rPr>
          <w:sz w:val="23"/>
          <w:szCs w:val="23"/>
        </w:rPr>
      </w:pPr>
    </w:p>
    <w:p w14:paraId="59803C37" w14:textId="77777777" w:rsidR="00A23DD7" w:rsidRDefault="00000000">
      <w:pPr>
        <w:pStyle w:val="Standard"/>
        <w:numPr>
          <w:ilvl w:val="0"/>
          <w:numId w:val="22"/>
        </w:numPr>
        <w:spacing w:after="120" w:line="360" w:lineRule="auto"/>
        <w:ind w:hanging="174"/>
        <w:jc w:val="both"/>
        <w:rPr>
          <w:sz w:val="23"/>
          <w:szCs w:val="23"/>
        </w:rPr>
      </w:pPr>
      <w:r>
        <w:rPr>
          <w:sz w:val="23"/>
          <w:szCs w:val="23"/>
        </w:rPr>
        <w:t xml:space="preserve">Diretor-geral e Vice-diretor (nos </w:t>
      </w:r>
      <w:proofErr w:type="spellStart"/>
      <w:r>
        <w:rPr>
          <w:sz w:val="23"/>
          <w:szCs w:val="23"/>
        </w:rPr>
        <w:t>câmpus</w:t>
      </w:r>
      <w:proofErr w:type="spellEnd"/>
      <w:r>
        <w:rPr>
          <w:sz w:val="23"/>
          <w:szCs w:val="23"/>
        </w:rPr>
        <w:t xml:space="preserve"> que possuírem Vice-diretor);</w:t>
      </w:r>
    </w:p>
    <w:p w14:paraId="279300E5" w14:textId="77777777" w:rsidR="00A23DD7" w:rsidRDefault="00000000">
      <w:pPr>
        <w:pStyle w:val="Standard"/>
        <w:numPr>
          <w:ilvl w:val="0"/>
          <w:numId w:val="3"/>
        </w:numPr>
        <w:spacing w:after="120" w:line="360" w:lineRule="auto"/>
        <w:ind w:hanging="174"/>
        <w:jc w:val="both"/>
        <w:rPr>
          <w:sz w:val="23"/>
          <w:szCs w:val="23"/>
        </w:rPr>
      </w:pPr>
      <w:r>
        <w:rPr>
          <w:sz w:val="23"/>
          <w:szCs w:val="23"/>
        </w:rPr>
        <w:t>Assessoria do Diretor-geral;</w:t>
      </w:r>
    </w:p>
    <w:p w14:paraId="4D960EC8" w14:textId="77777777" w:rsidR="00A23DD7" w:rsidRDefault="00000000">
      <w:pPr>
        <w:pStyle w:val="Standard"/>
        <w:numPr>
          <w:ilvl w:val="0"/>
          <w:numId w:val="3"/>
        </w:numPr>
        <w:spacing w:after="120" w:line="360" w:lineRule="auto"/>
        <w:ind w:hanging="174"/>
        <w:jc w:val="both"/>
        <w:rPr>
          <w:sz w:val="23"/>
          <w:szCs w:val="23"/>
        </w:rPr>
      </w:pPr>
      <w:r>
        <w:rPr>
          <w:sz w:val="23"/>
          <w:szCs w:val="23"/>
        </w:rPr>
        <w:t>Diretoria ou Departamento de Ensino, Pesquisa e Extensão;</w:t>
      </w:r>
    </w:p>
    <w:p w14:paraId="10C1F456" w14:textId="77777777" w:rsidR="00A23DD7" w:rsidRDefault="00000000">
      <w:pPr>
        <w:pStyle w:val="Standard"/>
        <w:numPr>
          <w:ilvl w:val="0"/>
          <w:numId w:val="3"/>
        </w:numPr>
        <w:spacing w:after="120" w:line="360" w:lineRule="auto"/>
        <w:ind w:hanging="174"/>
        <w:jc w:val="both"/>
        <w:rPr>
          <w:sz w:val="23"/>
          <w:szCs w:val="23"/>
        </w:rPr>
      </w:pPr>
      <w:r>
        <w:rPr>
          <w:sz w:val="23"/>
          <w:szCs w:val="23"/>
        </w:rPr>
        <w:t>Diretoria ou Departamento de Administração;</w:t>
      </w:r>
    </w:p>
    <w:p w14:paraId="7BC74D5F" w14:textId="77777777" w:rsidR="00A23DD7" w:rsidRDefault="00000000">
      <w:pPr>
        <w:pStyle w:val="Standard"/>
        <w:numPr>
          <w:ilvl w:val="0"/>
          <w:numId w:val="3"/>
        </w:numPr>
        <w:spacing w:after="120" w:line="360" w:lineRule="auto"/>
        <w:ind w:hanging="174"/>
        <w:jc w:val="both"/>
        <w:rPr>
          <w:sz w:val="23"/>
          <w:szCs w:val="23"/>
        </w:rPr>
      </w:pPr>
      <w:r>
        <w:rPr>
          <w:sz w:val="23"/>
          <w:szCs w:val="23"/>
        </w:rPr>
        <w:lastRenderedPageBreak/>
        <w:t>Coordenadoria de Tecnologias da Informação e da Comunicação;</w:t>
      </w:r>
    </w:p>
    <w:p w14:paraId="27F03651"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de Extensão e Relações Externas;</w:t>
      </w:r>
    </w:p>
    <w:p w14:paraId="45607E31"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de Gestão de Pessoas;</w:t>
      </w:r>
    </w:p>
    <w:p w14:paraId="21D6038E"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de Materiais e Finanças;</w:t>
      </w:r>
    </w:p>
    <w:p w14:paraId="2A532BB0"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de Registro Acadêmico;</w:t>
      </w:r>
    </w:p>
    <w:p w14:paraId="53BFD541"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Pedagógica;</w:t>
      </w:r>
    </w:p>
    <w:p w14:paraId="0165020C"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 de Pesquisa e Inovação;</w:t>
      </w:r>
    </w:p>
    <w:p w14:paraId="1B0C3B43" w14:textId="77777777" w:rsidR="00A23DD7" w:rsidRDefault="00000000">
      <w:pPr>
        <w:pStyle w:val="Standard"/>
        <w:numPr>
          <w:ilvl w:val="0"/>
          <w:numId w:val="3"/>
        </w:numPr>
        <w:spacing w:after="120" w:line="360" w:lineRule="auto"/>
        <w:ind w:hanging="174"/>
        <w:jc w:val="both"/>
        <w:rPr>
          <w:sz w:val="23"/>
          <w:szCs w:val="23"/>
        </w:rPr>
      </w:pPr>
      <w:r>
        <w:rPr>
          <w:sz w:val="23"/>
          <w:szCs w:val="23"/>
        </w:rPr>
        <w:t>Coordenadorias de Áreas, Cursos ou de níveis de formação.</w:t>
      </w:r>
    </w:p>
    <w:p w14:paraId="3F4A35F5" w14:textId="77777777" w:rsidR="00A23DD7" w:rsidRDefault="00A23DD7">
      <w:pPr>
        <w:pStyle w:val="Standard"/>
        <w:spacing w:after="57" w:line="360" w:lineRule="auto"/>
        <w:jc w:val="both"/>
      </w:pPr>
    </w:p>
    <w:p w14:paraId="1D04DB53" w14:textId="77777777" w:rsidR="00A23DD7" w:rsidRDefault="00000000">
      <w:pPr>
        <w:pStyle w:val="Standard"/>
        <w:spacing w:after="57" w:line="360" w:lineRule="auto"/>
        <w:jc w:val="both"/>
      </w:pPr>
      <w:r>
        <w:rPr>
          <w:sz w:val="23"/>
          <w:szCs w:val="23"/>
        </w:rPr>
        <w:tab/>
      </w:r>
      <w:r w:rsidRPr="00A1445F">
        <w:rPr>
          <w:rFonts w:ascii="Times New Roman" w:eastAsia="Times New Roman" w:hAnsi="Times New Roman" w:cs="Times New Roman"/>
          <w:color w:val="000000"/>
        </w:rPr>
        <w:t xml:space="preserve">Além da estrutura acima, alguns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contam com um Departamento de Assuntos Estudantis</w:t>
      </w:r>
      <w:r w:rsidRPr="00A1445F">
        <w:rPr>
          <w:rFonts w:ascii="Times New Roman" w:eastAsia="Times New Roman" w:hAnsi="Times New Roman" w:cs="Times New Roman"/>
          <w:color w:val="000000"/>
        </w:rPr>
        <w:footnoteReference w:id="3"/>
      </w:r>
      <w:r w:rsidRPr="00A1445F">
        <w:rPr>
          <w:rFonts w:ascii="Times New Roman" w:eastAsia="Times New Roman" w:hAnsi="Times New Roman" w:cs="Times New Roman"/>
          <w:color w:val="000000"/>
        </w:rPr>
        <w:t xml:space="preserve">. É importante destacar que a subordinação de algumas dessas unidades pode variar de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para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conforme seu Regimento Interno, que também deve dispor sobre as coordenações e assessorias que contemplem o atendimento aos serviços de comunicação social, estágios, acompanhamento de egressos, pós-graduação, ingresso, secretaria acadêmica, assistência estudantil, biblioteca, acessibilidade educacional, Núcleo de Educação a Distância (</w:t>
      </w:r>
      <w:proofErr w:type="spellStart"/>
      <w:r w:rsidRPr="00A1445F">
        <w:rPr>
          <w:rFonts w:ascii="Times New Roman" w:eastAsia="Times New Roman" w:hAnsi="Times New Roman" w:cs="Times New Roman"/>
          <w:color w:val="000000"/>
        </w:rPr>
        <w:t>Nead</w:t>
      </w:r>
      <w:proofErr w:type="spellEnd"/>
      <w:r w:rsidRPr="00A1445F">
        <w:rPr>
          <w:rFonts w:ascii="Times New Roman" w:eastAsia="Times New Roman" w:hAnsi="Times New Roman" w:cs="Times New Roman"/>
          <w:color w:val="000000"/>
        </w:rPr>
        <w:t>), áreas acadêmicas, níveis de ensino, atendimento ao Plano Nacional de Educação (PNE), Coordenadoria do Núcleo de Acessibilidade Educacional (CNAE), planejamento, compras, contratos, orçamento, infraestrutura, manutenção, almoxarifado e patrimônio.</w:t>
      </w:r>
    </w:p>
    <w:p w14:paraId="5E5EBCBE" w14:textId="77777777" w:rsidR="00A23DD7" w:rsidRDefault="00000000">
      <w:pPr>
        <w:pStyle w:val="Ttulo3"/>
        <w:numPr>
          <w:ilvl w:val="2"/>
          <w:numId w:val="1"/>
        </w:numPr>
      </w:pPr>
      <w:bookmarkStart w:id="18" w:name="_3j2qqm3"/>
      <w:bookmarkEnd w:id="18"/>
      <w:r>
        <w:t>Centro de Referência em Formação e Educação a Distância</w:t>
      </w:r>
    </w:p>
    <w:p w14:paraId="737BAAB3"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O </w:t>
      </w:r>
      <w:proofErr w:type="spellStart"/>
      <w:r>
        <w:rPr>
          <w:rFonts w:ascii="Times New Roman" w:eastAsia="Times New Roman" w:hAnsi="Times New Roman" w:cs="Times New Roman"/>
          <w:color w:val="000000"/>
        </w:rPr>
        <w:t>Cerfead</w:t>
      </w:r>
      <w:proofErr w:type="spellEnd"/>
      <w:r>
        <w:rPr>
          <w:rFonts w:ascii="Times New Roman" w:eastAsia="Times New Roman" w:hAnsi="Times New Roman" w:cs="Times New Roman"/>
          <w:color w:val="000000"/>
        </w:rPr>
        <w:t xml:space="preserve"> é uma diretoria vinculada </w:t>
      </w:r>
      <w:r w:rsidRPr="00A1445F">
        <w:rPr>
          <w:rFonts w:ascii="Times New Roman" w:eastAsia="Times New Roman" w:hAnsi="Times New Roman" w:cs="Times New Roman"/>
          <w:color w:val="000000"/>
        </w:rPr>
        <w:t>à</w:t>
      </w:r>
      <w:r>
        <w:rPr>
          <w:rFonts w:ascii="Times New Roman" w:eastAsia="Times New Roman" w:hAnsi="Times New Roman" w:cs="Times New Roman"/>
          <w:color w:val="000000"/>
        </w:rPr>
        <w:t xml:space="preserve"> </w:t>
      </w:r>
      <w:proofErr w:type="spellStart"/>
      <w:r w:rsidRPr="00A1445F">
        <w:rPr>
          <w:rFonts w:ascii="Times New Roman" w:eastAsia="Times New Roman" w:hAnsi="Times New Roman" w:cs="Times New Roman"/>
          <w:color w:val="000000"/>
        </w:rPr>
        <w:t>Pró-Reitoria</w:t>
      </w:r>
      <w:proofErr w:type="spellEnd"/>
      <w:r>
        <w:rPr>
          <w:rFonts w:ascii="Times New Roman" w:eastAsia="Times New Roman" w:hAnsi="Times New Roman" w:cs="Times New Roman"/>
          <w:color w:val="000000"/>
        </w:rPr>
        <w:t xml:space="preserve"> de Ensino, que atua na formação para a Educação Profissional, Científica e Tecnológica; gerencia e promove a institucionalização da </w:t>
      </w:r>
      <w:proofErr w:type="spellStart"/>
      <w:r>
        <w:rPr>
          <w:rFonts w:ascii="Times New Roman" w:eastAsia="Times New Roman" w:hAnsi="Times New Roman" w:cs="Times New Roman"/>
          <w:color w:val="000000"/>
        </w:rPr>
        <w:t>EaD</w:t>
      </w:r>
      <w:proofErr w:type="spellEnd"/>
      <w:r>
        <w:rPr>
          <w:rFonts w:ascii="Times New Roman" w:eastAsia="Times New Roman" w:hAnsi="Times New Roman" w:cs="Times New Roman"/>
          <w:color w:val="000000"/>
        </w:rPr>
        <w:t xml:space="preserve"> no IFSC e contribui com a formação de servidores das redes públicas de ensino. </w:t>
      </w:r>
      <w:r w:rsidRPr="00A1445F">
        <w:rPr>
          <w:rFonts w:ascii="Times New Roman" w:eastAsia="Times New Roman" w:hAnsi="Times New Roman" w:cs="Times New Roman"/>
          <w:color w:val="000000"/>
        </w:rPr>
        <w:t>Conforme o Regimento</w:t>
      </w:r>
      <w:r>
        <w:rPr>
          <w:rFonts w:ascii="Times New Roman" w:eastAsia="Times New Roman" w:hAnsi="Times New Roman" w:cs="Times New Roman"/>
          <w:color w:val="000000"/>
        </w:rPr>
        <w:t xml:space="preserve"> Geral, possui a estrutura organizacional apresentada na Figura 2.</w:t>
      </w:r>
      <w:r w:rsidRPr="00A1445F">
        <w:rPr>
          <w:rFonts w:ascii="Times New Roman" w:eastAsia="Times New Roman" w:hAnsi="Times New Roman" w:cs="Times New Roman"/>
          <w:color w:val="000000"/>
        </w:rPr>
        <w:t>8</w:t>
      </w:r>
      <w:r>
        <w:rPr>
          <w:rFonts w:ascii="Times New Roman" w:eastAsia="Times New Roman" w:hAnsi="Times New Roman" w:cs="Times New Roman"/>
          <w:color w:val="000000"/>
        </w:rPr>
        <w:t>.</w:t>
      </w:r>
    </w:p>
    <w:p w14:paraId="00F47DF5" w14:textId="64873690" w:rsidR="00A23DD7" w:rsidRDefault="00000000">
      <w:pPr>
        <w:pStyle w:val="Standard"/>
        <w:spacing w:after="120" w:line="360" w:lineRule="auto"/>
        <w:jc w:val="both"/>
        <w:rPr>
          <w:sz w:val="23"/>
          <w:szCs w:val="23"/>
        </w:rPr>
      </w:pPr>
      <w:r>
        <w:rPr>
          <w:noProof/>
        </w:rPr>
        <w:lastRenderedPageBreak/>
        <w:drawing>
          <wp:anchor distT="0" distB="0" distL="114300" distR="114300" simplePos="0" relativeHeight="19" behindDoc="0" locked="0" layoutInCell="1" allowOverlap="1" wp14:anchorId="156220B5" wp14:editId="708D758D">
            <wp:simplePos x="0" y="0"/>
            <wp:positionH relativeFrom="column">
              <wp:posOffset>2295360</wp:posOffset>
            </wp:positionH>
            <wp:positionV relativeFrom="paragraph">
              <wp:posOffset>377280</wp:posOffset>
            </wp:positionV>
            <wp:extent cx="907560" cy="1565999"/>
            <wp:effectExtent l="0" t="0" r="6840" b="0"/>
            <wp:wrapTopAndBottom/>
            <wp:docPr id="9"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lum/>
                      <a:alphaModFix/>
                    </a:blip>
                    <a:srcRect/>
                    <a:stretch>
                      <a:fillRect/>
                    </a:stretch>
                  </pic:blipFill>
                  <pic:spPr>
                    <a:xfrm>
                      <a:off x="0" y="0"/>
                      <a:ext cx="907560" cy="1565999"/>
                    </a:xfrm>
                    <a:prstGeom prst="rect">
                      <a:avLst/>
                    </a:prstGeom>
                    <a:noFill/>
                    <a:ln>
                      <a:noFill/>
                      <a:prstDash/>
                    </a:ln>
                  </pic:spPr>
                </pic:pic>
              </a:graphicData>
            </a:graphic>
          </wp:anchor>
        </w:drawing>
      </w:r>
    </w:p>
    <w:p w14:paraId="219BFB8D" w14:textId="51A462AA" w:rsidR="00A1445F" w:rsidRDefault="00A1445F" w:rsidP="00A1445F">
      <w:pPr>
        <w:pStyle w:val="Standard"/>
        <w:spacing w:after="57" w:line="360" w:lineRule="auto"/>
        <w:rPr>
          <w:sz w:val="23"/>
          <w:szCs w:val="23"/>
        </w:rPr>
      </w:pPr>
      <w:r>
        <w:rPr>
          <w:b/>
          <w:bCs/>
          <w:sz w:val="23"/>
          <w:szCs w:val="23"/>
        </w:rPr>
        <w:t>Figura 2.8</w:t>
      </w:r>
      <w:r>
        <w:rPr>
          <w:sz w:val="23"/>
          <w:szCs w:val="23"/>
        </w:rPr>
        <w:t xml:space="preserve">. Organograma resumido </w:t>
      </w:r>
      <w:proofErr w:type="spellStart"/>
      <w:r>
        <w:rPr>
          <w:sz w:val="23"/>
          <w:szCs w:val="23"/>
        </w:rPr>
        <w:t>Cerfead</w:t>
      </w:r>
      <w:proofErr w:type="spellEnd"/>
      <w:r>
        <w:rPr>
          <w:sz w:val="23"/>
          <w:szCs w:val="23"/>
        </w:rPr>
        <w:t>.</w:t>
      </w:r>
    </w:p>
    <w:p w14:paraId="3E90D86D" w14:textId="324524A7" w:rsidR="00A23DD7" w:rsidRPr="00A1445F" w:rsidRDefault="00000000" w:rsidP="00A1445F">
      <w:pPr>
        <w:pStyle w:val="Standard"/>
        <w:spacing w:after="57" w:line="360" w:lineRule="auto"/>
        <w:ind w:firstLine="720"/>
        <w:jc w:val="both"/>
        <w:rPr>
          <w:rFonts w:ascii="Times New Roman" w:eastAsia="Times New Roman" w:hAnsi="Times New Roman" w:cs="Times New Roman"/>
          <w:color w:val="000000"/>
        </w:rPr>
      </w:pPr>
      <w:r w:rsidRPr="00A1445F">
        <w:rPr>
          <w:rFonts w:ascii="Times New Roman" w:eastAsia="Times New Roman" w:hAnsi="Times New Roman" w:cs="Times New Roman"/>
          <w:color w:val="000000"/>
        </w:rPr>
        <w:t>As competências referentes à estrutura acima podem ser consultadas no Regimento Geral do IFSC. A estrutura e as atribuições das coordenadorias e assessorias são dadas por Instrução Normativa da Reitoria.</w:t>
      </w:r>
    </w:p>
    <w:p w14:paraId="7F98BFB1" w14:textId="77777777" w:rsidR="00A23DD7" w:rsidRDefault="00000000">
      <w:pPr>
        <w:pStyle w:val="Ttulo2"/>
        <w:numPr>
          <w:ilvl w:val="1"/>
          <w:numId w:val="1"/>
        </w:numPr>
        <w:ind w:left="0" w:firstLine="0"/>
        <w:jc w:val="both"/>
      </w:pPr>
      <w:bookmarkStart w:id="19" w:name="_4i7ojhp"/>
      <w:bookmarkEnd w:id="19"/>
      <w:r>
        <w:t>ÓRGÃO DE ASSESSORAMENTO DAS DIRETORIAS-GERAIS – COLEGIADOS DOS CÂMPUS</w:t>
      </w:r>
    </w:p>
    <w:p w14:paraId="21FEEE9A"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b/>
      </w:r>
      <w:r w:rsidRPr="00A1445F">
        <w:rPr>
          <w:rFonts w:ascii="Times New Roman" w:eastAsia="Times New Roman" w:hAnsi="Times New Roman" w:cs="Times New Roman"/>
          <w:color w:val="000000"/>
        </w:rPr>
        <w:t xml:space="preserve">O Colegiado do Câmpus é órgão normativo e deliberativo por delegação do </w:t>
      </w:r>
      <w:proofErr w:type="spellStart"/>
      <w:r w:rsidRPr="00A1445F">
        <w:rPr>
          <w:rFonts w:ascii="Times New Roman" w:eastAsia="Times New Roman" w:hAnsi="Times New Roman" w:cs="Times New Roman"/>
          <w:color w:val="000000"/>
        </w:rPr>
        <w:t>Consup</w:t>
      </w:r>
      <w:proofErr w:type="spellEnd"/>
      <w:r w:rsidRPr="00A1445F">
        <w:rPr>
          <w:rFonts w:ascii="Times New Roman" w:eastAsia="Times New Roman" w:hAnsi="Times New Roman" w:cs="Times New Roman"/>
          <w:color w:val="000000"/>
        </w:rPr>
        <w:t xml:space="preserve">, no âmbito do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de forma a assessorar o Diretor-geral, colaborando para o aperfeiçoamento do processo educativo e zelando pela correta execução das políticas do IFSC. Os colegiados dos </w:t>
      </w:r>
      <w:proofErr w:type="spellStart"/>
      <w:r w:rsidRPr="00A1445F">
        <w:rPr>
          <w:rFonts w:ascii="Times New Roman" w:eastAsia="Times New Roman" w:hAnsi="Times New Roman" w:cs="Times New Roman"/>
          <w:color w:val="000000"/>
        </w:rPr>
        <w:t>câmpus</w:t>
      </w:r>
      <w:proofErr w:type="spellEnd"/>
      <w:r w:rsidRPr="00A1445F">
        <w:rPr>
          <w:rFonts w:ascii="Times New Roman" w:eastAsia="Times New Roman" w:hAnsi="Times New Roman" w:cs="Times New Roman"/>
          <w:color w:val="000000"/>
        </w:rPr>
        <w:t xml:space="preserve"> são presididos pelos diretores-gerais e têm em suas composições representantes dos servidores docentes, dos servidores técnico-administrativos em educação, dos discentes, e da sociedade civil, o Diretor ou Chefe do Departamento de Administração </w:t>
      </w:r>
      <w:r>
        <w:rPr>
          <w:rFonts w:ascii="Times New Roman" w:eastAsia="Times New Roman" w:hAnsi="Times New Roman" w:cs="Times New Roman"/>
          <w:color w:val="000000"/>
        </w:rPr>
        <w:t xml:space="preserve">e </w:t>
      </w:r>
      <w:r w:rsidRPr="00A1445F">
        <w:rPr>
          <w:rFonts w:ascii="Times New Roman" w:eastAsia="Times New Roman" w:hAnsi="Times New Roman" w:cs="Times New Roman"/>
          <w:color w:val="000000"/>
        </w:rPr>
        <w:t>o Diretor ou Chefe do Departamento de Ensino, Pesquisa e Extensão. A estrutura e competências dos Colegiados dos Câmpus estão descritas no Regimento Geral do IFSC e nos regulamentos próprios.</w:t>
      </w:r>
    </w:p>
    <w:p w14:paraId="4C1442D1" w14:textId="77777777" w:rsidR="00A23DD7" w:rsidRDefault="00000000">
      <w:pPr>
        <w:pStyle w:val="Ttulo2"/>
        <w:numPr>
          <w:ilvl w:val="1"/>
          <w:numId w:val="1"/>
        </w:numPr>
        <w:ind w:left="0" w:firstLine="0"/>
      </w:pPr>
      <w:bookmarkStart w:id="20" w:name="_2xcytpi"/>
      <w:bookmarkEnd w:id="20"/>
      <w:r>
        <w:t>POLO DE INOVAÇÃO</w:t>
      </w:r>
    </w:p>
    <w:p w14:paraId="40542098" w14:textId="77777777" w:rsidR="00A23DD7" w:rsidRPr="00A1445F" w:rsidRDefault="00000000">
      <w:pPr>
        <w:pStyle w:val="Standard"/>
        <w:spacing w:after="57" w:line="360" w:lineRule="auto"/>
        <w:jc w:val="both"/>
        <w:rPr>
          <w:rFonts w:ascii="Times New Roman" w:eastAsia="Times New Roman" w:hAnsi="Times New Roman" w:cs="Times New Roman"/>
          <w:color w:val="000000"/>
        </w:rPr>
      </w:pPr>
      <w:r>
        <w:tab/>
      </w:r>
      <w:r w:rsidRPr="00A1445F">
        <w:rPr>
          <w:rFonts w:ascii="Times New Roman" w:eastAsia="Times New Roman" w:hAnsi="Times New Roman" w:cs="Times New Roman"/>
          <w:color w:val="000000"/>
        </w:rPr>
        <w:t xml:space="preserve">O Polo de Inovação é uma unidade administrativa, vinculada à Reitoria, especializada na prospecção, contratação e gerenciamento de projetos de Pesquisa, Desenvolvimento &amp; Inovação (PD&amp;I) em áreas de competências específicas. Ao Polo de Inovação do IFSC vincula-se a Unidade </w:t>
      </w:r>
      <w:proofErr w:type="spellStart"/>
      <w:r w:rsidRPr="00A1445F">
        <w:rPr>
          <w:rFonts w:ascii="Times New Roman" w:eastAsia="Times New Roman" w:hAnsi="Times New Roman" w:cs="Times New Roman"/>
          <w:color w:val="000000"/>
        </w:rPr>
        <w:t>Embrapii</w:t>
      </w:r>
      <w:proofErr w:type="spellEnd"/>
      <w:r w:rsidRPr="00A1445F">
        <w:rPr>
          <w:rFonts w:ascii="Times New Roman" w:eastAsia="Times New Roman" w:hAnsi="Times New Roman" w:cs="Times New Roman"/>
          <w:color w:val="000000"/>
        </w:rPr>
        <w:t xml:space="preserve"> Sistemas Inteligentes de Energia, sediada no Câmpus Florianópolis da instituição. </w:t>
      </w:r>
      <w:r>
        <w:rPr>
          <w:rFonts w:ascii="Times New Roman" w:eastAsia="Times New Roman" w:hAnsi="Times New Roman" w:cs="Times New Roman"/>
          <w:color w:val="000000"/>
        </w:rPr>
        <w:t>A estrutura e as competências das unidades organizacionais que o compõem estão</w:t>
      </w:r>
      <w:r w:rsidRPr="00A144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apresentadas no seu Regimento Intern</w:t>
      </w:r>
      <w:r w:rsidRPr="00A1445F">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Su</w:t>
      </w:r>
      <w:r w:rsidRPr="00A1445F">
        <w:rPr>
          <w:rFonts w:ascii="Times New Roman" w:eastAsia="Times New Roman" w:hAnsi="Times New Roman" w:cs="Times New Roman"/>
          <w:color w:val="000000"/>
        </w:rPr>
        <w:t>a estrutura organizacional é apresentada na Figura 2.9.</w:t>
      </w:r>
    </w:p>
    <w:p w14:paraId="40095D4F" w14:textId="77777777" w:rsidR="00A23DD7" w:rsidRDefault="00000000">
      <w:pPr>
        <w:pStyle w:val="Standard"/>
        <w:spacing w:after="57" w:line="360" w:lineRule="auto"/>
        <w:jc w:val="both"/>
      </w:pPr>
      <w:r>
        <w:rPr>
          <w:noProof/>
        </w:rPr>
        <w:lastRenderedPageBreak/>
        <w:drawing>
          <wp:anchor distT="0" distB="0" distL="114300" distR="114300" simplePos="0" relativeHeight="18" behindDoc="0" locked="0" layoutInCell="1" allowOverlap="1" wp14:anchorId="7DE38C18" wp14:editId="1D8267E3">
            <wp:simplePos x="0" y="0"/>
            <wp:positionH relativeFrom="column">
              <wp:posOffset>2390760</wp:posOffset>
            </wp:positionH>
            <wp:positionV relativeFrom="paragraph">
              <wp:posOffset>314280</wp:posOffset>
            </wp:positionV>
            <wp:extent cx="904319" cy="1649160"/>
            <wp:effectExtent l="0" t="0" r="0" b="8190"/>
            <wp:wrapTopAndBottom/>
            <wp:docPr id="10"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lum/>
                      <a:alphaModFix/>
                    </a:blip>
                    <a:srcRect/>
                    <a:stretch>
                      <a:fillRect/>
                    </a:stretch>
                  </pic:blipFill>
                  <pic:spPr>
                    <a:xfrm>
                      <a:off x="0" y="0"/>
                      <a:ext cx="904319" cy="1649160"/>
                    </a:xfrm>
                    <a:prstGeom prst="rect">
                      <a:avLst/>
                    </a:prstGeom>
                    <a:noFill/>
                    <a:ln>
                      <a:noFill/>
                      <a:prstDash/>
                    </a:ln>
                  </pic:spPr>
                </pic:pic>
              </a:graphicData>
            </a:graphic>
          </wp:anchor>
        </w:drawing>
      </w:r>
    </w:p>
    <w:p w14:paraId="424D7A70" w14:textId="77777777" w:rsidR="00A23DD7" w:rsidRDefault="00000000">
      <w:pPr>
        <w:pStyle w:val="Standard"/>
        <w:tabs>
          <w:tab w:val="left" w:pos="850"/>
        </w:tabs>
        <w:spacing w:after="57" w:line="360" w:lineRule="auto"/>
        <w:jc w:val="both"/>
      </w:pPr>
      <w:bookmarkStart w:id="21" w:name="_3whwml4"/>
      <w:bookmarkEnd w:id="21"/>
      <w:r>
        <w:rPr>
          <w:b/>
          <w:bCs/>
        </w:rPr>
        <w:t>Figura 2.9</w:t>
      </w:r>
      <w:r>
        <w:t>. Organograma do Polo de Inovação.</w:t>
      </w:r>
    </w:p>
    <w:p w14:paraId="22A6D2EA" w14:textId="77777777" w:rsidR="00A23DD7" w:rsidRDefault="00000000">
      <w:pPr>
        <w:pStyle w:val="Ttulo2"/>
        <w:widowControl w:val="0"/>
        <w:numPr>
          <w:ilvl w:val="1"/>
          <w:numId w:val="1"/>
        </w:numPr>
        <w:ind w:left="0" w:firstLine="0"/>
      </w:pPr>
      <w:bookmarkStart w:id="22" w:name="_4ljb4gx3a2hc"/>
      <w:bookmarkEnd w:id="22"/>
      <w:r>
        <w:t>POLÍTICAS DE GESTÃO</w:t>
      </w:r>
    </w:p>
    <w:p w14:paraId="74F62DBA" w14:textId="77777777" w:rsidR="00A23DD7" w:rsidRDefault="00A23DD7">
      <w:pPr>
        <w:pStyle w:val="Standard"/>
        <w:tabs>
          <w:tab w:val="left" w:pos="850"/>
        </w:tabs>
      </w:pPr>
    </w:p>
    <w:p w14:paraId="234526CB" w14:textId="77777777" w:rsidR="00A23DD7" w:rsidRPr="00A1445F" w:rsidRDefault="00000000">
      <w:pPr>
        <w:pStyle w:val="Standard"/>
        <w:tabs>
          <w:tab w:val="left" w:pos="850"/>
        </w:tabs>
        <w:spacing w:line="360" w:lineRule="auto"/>
        <w:jc w:val="both"/>
        <w:rPr>
          <w:rFonts w:ascii="Times New Roman" w:eastAsia="Times New Roman" w:hAnsi="Times New Roman" w:cs="Times New Roman"/>
          <w:color w:val="000000"/>
        </w:rPr>
      </w:pPr>
      <w:r>
        <w:tab/>
      </w:r>
      <w:r w:rsidRPr="00A1445F">
        <w:rPr>
          <w:rFonts w:ascii="Times New Roman" w:eastAsia="Times New Roman" w:hAnsi="Times New Roman" w:cs="Times New Roman"/>
          <w:color w:val="000000"/>
        </w:rPr>
        <w:t>As políticas institucionais são essenciais para a estruturação e para o funcionamento adequado das instituições de ensino. Elas funcionam como um arcabouço que orienta a gestão administrativa e pedagógica, promovendo um ambiente educacional que busca a excelência e a equidade. Essas políticas estabelecem objetivos claros e metas a serem alcançadas, além de normatizar práticas que garantem a inclusão e a diversidade no ambiente escolar. Com diretrizes bem definidas, é possível que as instituições desenvolvam programas e ações que atendam às necessidades de todos os alunos, respeitando suas singularidades e promovendo um aprendizado significativo.</w:t>
      </w:r>
    </w:p>
    <w:p w14:paraId="2EEDF4B7" w14:textId="77777777" w:rsidR="00A23DD7" w:rsidRPr="00A1445F" w:rsidRDefault="00000000">
      <w:pPr>
        <w:pStyle w:val="Standard"/>
        <w:tabs>
          <w:tab w:val="left" w:pos="850"/>
        </w:tabs>
        <w:spacing w:line="360" w:lineRule="auto"/>
        <w:jc w:val="both"/>
        <w:rPr>
          <w:rFonts w:ascii="Times New Roman" w:eastAsia="Times New Roman" w:hAnsi="Times New Roman" w:cs="Times New Roman"/>
          <w:color w:val="000000"/>
        </w:rPr>
      </w:pPr>
      <w:r w:rsidRPr="00A1445F">
        <w:rPr>
          <w:rFonts w:ascii="Times New Roman" w:eastAsia="Times New Roman" w:hAnsi="Times New Roman" w:cs="Times New Roman"/>
          <w:color w:val="000000"/>
        </w:rPr>
        <w:tab/>
        <w:t>Além disso, as políticas institucionais são fundamentais para assegurar a transparência e a responsabilidade na gestão educacional. Elas permitem que a comunidade escolar, incluindo professores, alunos e pais, tenham clareza sobre os processos e decisões que afetam o cotidiano da escola. Essa transparência contribui para a construção de um ambiente de confiança e colaboração, essencial para o desenvolvimento integral dos alunos e das alunas.</w:t>
      </w:r>
    </w:p>
    <w:p w14:paraId="79D1E871" w14:textId="77777777" w:rsidR="00A23DD7" w:rsidRDefault="00000000">
      <w:pPr>
        <w:pStyle w:val="Standard"/>
        <w:tabs>
          <w:tab w:val="left" w:pos="850"/>
        </w:tabs>
        <w:spacing w:line="360" w:lineRule="auto"/>
        <w:jc w:val="both"/>
      </w:pPr>
      <w:r>
        <w:tab/>
      </w:r>
      <w:r w:rsidRPr="00A1445F">
        <w:rPr>
          <w:rFonts w:ascii="Times New Roman" w:eastAsia="Times New Roman" w:hAnsi="Times New Roman" w:cs="Times New Roman"/>
          <w:color w:val="000000"/>
        </w:rPr>
        <w:t>Por fim, é importante destacar que a revisão e a atualização contínuas dessas políticas são necessárias para que as instituições de ensino se adaptem às mudanças sociais, tecnológicas e econômicas, garantindo que a educação oferecida seja sempre relevante e de qualidade. Assim, as políticas institucionais não apenas organizam a estrutura da instituição, mas também são fundamentais para a formação de cidadãos e cidadãs críticos, criativos e preparados para os desafios do mundo contemporâneo</w:t>
      </w:r>
      <w:r>
        <w:t xml:space="preserve">. </w:t>
      </w:r>
      <w:hyperlink r:id="rId42" w:history="1">
        <w:r>
          <w:rPr>
            <w:color w:val="1155CC"/>
            <w:u w:val="single"/>
          </w:rPr>
          <w:t xml:space="preserve">Saiba mais sobre as políticas institucionais do IFSC clicando aqui. </w:t>
        </w:r>
      </w:hyperlink>
    </w:p>
    <w:sectPr w:rsidR="00A23DD7">
      <w:headerReference w:type="default" r:id="rId43"/>
      <w:footerReference w:type="default" r:id="rId44"/>
      <w:pgSz w:w="11906" w:h="16838"/>
      <w:pgMar w:top="2693" w:right="1134" w:bottom="1766" w:left="1134" w:header="1134" w:footer="5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3373" w14:textId="77777777" w:rsidR="00AA4F43" w:rsidRDefault="00AA4F43">
      <w:r>
        <w:separator/>
      </w:r>
    </w:p>
  </w:endnote>
  <w:endnote w:type="continuationSeparator" w:id="0">
    <w:p w14:paraId="5167DB4B" w14:textId="77777777" w:rsidR="00AA4F43" w:rsidRDefault="00AA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E1C7" w14:textId="77777777" w:rsidR="00000000" w:rsidRDefault="00000000">
    <w:pPr>
      <w:pStyle w:val="Standard"/>
      <w:tabs>
        <w:tab w:val="center" w:pos="4819"/>
        <w:tab w:val="right" w:pos="9638"/>
      </w:tabs>
      <w:rPr>
        <w:rFonts w:ascii="Times New Roman" w:eastAsia="Times New Roman" w:hAnsi="Times New Roman" w:cs="Times New Roman"/>
        <w:color w:val="000000"/>
      </w:rPr>
    </w:pPr>
  </w:p>
  <w:p w14:paraId="54CE4038" w14:textId="77777777" w:rsidR="00000000" w:rsidRDefault="00000000">
    <w:pPr>
      <w:pStyle w:val="Standard"/>
      <w:tabs>
        <w:tab w:val="center" w:pos="4819"/>
        <w:tab w:val="right" w:pos="9638"/>
      </w:tabs>
      <w:rPr>
        <w:rFonts w:ascii="Times New Roman" w:eastAsia="Times New Roman" w:hAnsi="Times New Roman" w:cs="Times New Roman"/>
        <w:color w:val="000000"/>
      </w:rPr>
    </w:pPr>
  </w:p>
  <w:p w14:paraId="078295A4" w14:textId="77777777" w:rsidR="00000000" w:rsidRDefault="00000000">
    <w:pPr>
      <w:pStyle w:val="Standard"/>
      <w:tabs>
        <w:tab w:val="center" w:pos="4819"/>
        <w:tab w:val="right" w:pos="9638"/>
      </w:tabs>
      <w:jc w:val="right"/>
    </w:pPr>
    <w:r>
      <w:fldChar w:fldCharType="begin"/>
    </w:r>
    <w:r>
      <w:instrText xml:space="preserve"> PAGE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05EF" w14:textId="77777777" w:rsidR="00AA4F43" w:rsidRDefault="00AA4F43">
      <w:r>
        <w:rPr>
          <w:color w:val="000000"/>
        </w:rPr>
        <w:separator/>
      </w:r>
    </w:p>
  </w:footnote>
  <w:footnote w:type="continuationSeparator" w:id="0">
    <w:p w14:paraId="4CC1506A" w14:textId="77777777" w:rsidR="00AA4F43" w:rsidRDefault="00AA4F43">
      <w:r>
        <w:continuationSeparator/>
      </w:r>
    </w:p>
  </w:footnote>
  <w:footnote w:id="1">
    <w:p w14:paraId="5DD1F81A" w14:textId="77777777" w:rsidR="00A23DD7" w:rsidRDefault="00000000">
      <w:pPr>
        <w:pStyle w:val="Standard"/>
      </w:pPr>
      <w:r>
        <w:rPr>
          <w:rStyle w:val="Refdenotaderodap"/>
        </w:rPr>
        <w:footnoteRef/>
      </w:r>
      <w:r>
        <w:rPr>
          <w:sz w:val="20"/>
          <w:szCs w:val="20"/>
        </w:rPr>
        <w:t xml:space="preserve">A estrutura da Reitoria aqui apresentada possui algumas alterações em relação à estrutura apresentada no Estatuto e no Regimento Geral do IFSC, uma vez que estes estão em processo de revisão. </w:t>
      </w:r>
      <w:hyperlink r:id="rId1" w:history="1">
        <w:r>
          <w:rPr>
            <w:color w:val="1155CC"/>
            <w:sz w:val="20"/>
            <w:szCs w:val="20"/>
            <w:u w:val="single"/>
          </w:rPr>
          <w:t xml:space="preserve">Essa revisão já foi aprovada pelo Conselho Superior por meio da Resolução </w:t>
        </w:r>
        <w:proofErr w:type="spellStart"/>
        <w:r>
          <w:rPr>
            <w:color w:val="1155CC"/>
            <w:sz w:val="20"/>
            <w:szCs w:val="20"/>
            <w:u w:val="single"/>
          </w:rPr>
          <w:t>Consup</w:t>
        </w:r>
        <w:proofErr w:type="spellEnd"/>
        <w:r>
          <w:rPr>
            <w:color w:val="1155CC"/>
            <w:sz w:val="20"/>
            <w:szCs w:val="20"/>
            <w:u w:val="single"/>
          </w:rPr>
          <w:t>/IFSC nº 71, de 26 de fevereiro de 2024.</w:t>
        </w:r>
      </w:hyperlink>
    </w:p>
  </w:footnote>
  <w:footnote w:id="2">
    <w:p w14:paraId="5B27E512" w14:textId="77777777" w:rsidR="00A23DD7" w:rsidRDefault="00000000">
      <w:pPr>
        <w:pStyle w:val="Standard"/>
        <w:ind w:left="339" w:hanging="339"/>
        <w:jc w:val="both"/>
      </w:pPr>
      <w:r>
        <w:rPr>
          <w:rStyle w:val="Refdenotaderodap"/>
        </w:rPr>
        <w:footnoteRef/>
      </w:r>
      <w:r>
        <w:rPr>
          <w:rFonts w:ascii="Times New Roman" w:eastAsia="Times New Roman" w:hAnsi="Times New Roman" w:cs="Times New Roman"/>
          <w:color w:val="000000"/>
          <w:sz w:val="20"/>
          <w:szCs w:val="20"/>
        </w:rPr>
        <w:t xml:space="preserve">Atualmente, a área de Assuntos Internacionais vem funcionando experimentalmente vinculada ao Gabinete da </w:t>
      </w:r>
      <w:r>
        <w:rPr>
          <w:sz w:val="20"/>
          <w:szCs w:val="20"/>
        </w:rPr>
        <w:t>Reitor</w:t>
      </w:r>
      <w:r>
        <w:rPr>
          <w:rFonts w:ascii="Times New Roman" w:eastAsia="Times New Roman" w:hAnsi="Times New Roman" w:cs="Times New Roman"/>
          <w:color w:val="000000"/>
          <w:sz w:val="20"/>
          <w:szCs w:val="20"/>
        </w:rPr>
        <w:t>ia.</w:t>
      </w:r>
    </w:p>
  </w:footnote>
  <w:footnote w:id="3">
    <w:p w14:paraId="248BC566" w14:textId="77777777" w:rsidR="00A23DD7" w:rsidRDefault="00000000">
      <w:pPr>
        <w:pStyle w:val="Standard"/>
        <w:tabs>
          <w:tab w:val="center" w:pos="4819"/>
          <w:tab w:val="right" w:pos="9638"/>
        </w:tabs>
        <w:jc w:val="both"/>
        <w:rPr>
          <w:sz w:val="20"/>
          <w:szCs w:val="20"/>
        </w:rPr>
      </w:pPr>
      <w:r>
        <w:rPr>
          <w:rStyle w:val="Refdenotaderodap"/>
        </w:rPr>
        <w:footnoteRef/>
      </w:r>
      <w:r>
        <w:rPr>
          <w:sz w:val="20"/>
          <w:szCs w:val="20"/>
        </w:rPr>
        <w:t xml:space="preserve">  Até 2025, existente apenas nos </w:t>
      </w:r>
      <w:proofErr w:type="spellStart"/>
      <w:r>
        <w:rPr>
          <w:sz w:val="20"/>
          <w:szCs w:val="20"/>
        </w:rPr>
        <w:t>câmpus</w:t>
      </w:r>
      <w:proofErr w:type="spellEnd"/>
      <w:r>
        <w:rPr>
          <w:sz w:val="20"/>
          <w:szCs w:val="20"/>
        </w:rPr>
        <w:t xml:space="preserve"> Araranguá, Chapecó, Florianópolis-Continente, Jaraguá do Sul-Centro, Jaraguá do Sul-</w:t>
      </w:r>
      <w:proofErr w:type="spellStart"/>
      <w:r>
        <w:rPr>
          <w:sz w:val="20"/>
          <w:szCs w:val="20"/>
        </w:rPr>
        <w:t>Rau</w:t>
      </w:r>
      <w:proofErr w:type="spellEnd"/>
      <w:r>
        <w:rPr>
          <w:sz w:val="20"/>
          <w:szCs w:val="20"/>
        </w:rPr>
        <w:t>, Joinville e São José.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0599" w14:textId="77777777" w:rsidR="00000000" w:rsidRDefault="00000000">
    <w:pPr>
      <w:pStyle w:val="Standard"/>
      <w:tabs>
        <w:tab w:val="center" w:pos="4819"/>
        <w:tab w:val="right" w:pos="9135"/>
        <w:tab w:val="right" w:pos="9638"/>
      </w:tabs>
      <w:ind w:right="255"/>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9264" behindDoc="1" locked="0" layoutInCell="1" allowOverlap="1" wp14:anchorId="2B5979FC" wp14:editId="22A98EA4">
          <wp:simplePos x="0" y="0"/>
          <wp:positionH relativeFrom="column">
            <wp:posOffset>-719280</wp:posOffset>
          </wp:positionH>
          <wp:positionV relativeFrom="margin">
            <wp:posOffset>-1709280</wp:posOffset>
          </wp:positionV>
          <wp:extent cx="7518599" cy="10635840"/>
          <wp:effectExtent l="0" t="0" r="6151" b="0"/>
          <wp:wrapNone/>
          <wp:docPr id="1" name="Form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18599" cy="10635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E7E"/>
    <w:multiLevelType w:val="multilevel"/>
    <w:tmpl w:val="39F03AEA"/>
    <w:styleLink w:val="WWNum7"/>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1" w15:restartNumberingAfterBreak="0">
    <w:nsid w:val="10C7645A"/>
    <w:multiLevelType w:val="multilevel"/>
    <w:tmpl w:val="158C1920"/>
    <w:styleLink w:val="WWNum6"/>
    <w:lvl w:ilvl="0">
      <w:numFmt w:val="bullet"/>
      <w:lvlText w:val="●"/>
      <w:lvlJc w:val="left"/>
      <w:pPr>
        <w:ind w:left="227" w:hanging="227"/>
      </w:pPr>
      <w:rPr>
        <w:rFonts w:ascii="Noto Sans Symbols" w:eastAsia="Noto Sans Symbols" w:hAnsi="Noto Sans Symbols" w:cs="Noto Sans Symbols"/>
      </w:rPr>
    </w:lvl>
    <w:lvl w:ilvl="1">
      <w:numFmt w:val="bullet"/>
      <w:lvlText w:val="●"/>
      <w:lvlJc w:val="left"/>
      <w:pPr>
        <w:ind w:left="454" w:hanging="227"/>
      </w:pPr>
      <w:rPr>
        <w:rFonts w:ascii="Noto Sans Symbols" w:eastAsia="Noto Sans Symbols" w:hAnsi="Noto Sans Symbols" w:cs="Noto Sans Symbols"/>
      </w:rPr>
    </w:lvl>
    <w:lvl w:ilvl="2">
      <w:numFmt w:val="bullet"/>
      <w:lvlText w:val="●"/>
      <w:lvlJc w:val="left"/>
      <w:pPr>
        <w:ind w:left="680" w:hanging="227"/>
      </w:pPr>
      <w:rPr>
        <w:rFonts w:ascii="Noto Sans Symbols" w:eastAsia="Noto Sans Symbols" w:hAnsi="Noto Sans Symbols" w:cs="Noto Sans Symbols"/>
      </w:rPr>
    </w:lvl>
    <w:lvl w:ilvl="3">
      <w:numFmt w:val="bullet"/>
      <w:lvlText w:val="●"/>
      <w:lvlJc w:val="left"/>
      <w:pPr>
        <w:ind w:left="907" w:hanging="227"/>
      </w:pPr>
      <w:rPr>
        <w:rFonts w:ascii="Noto Sans Symbols" w:eastAsia="Noto Sans Symbols" w:hAnsi="Noto Sans Symbols" w:cs="Noto Sans Symbols"/>
      </w:rPr>
    </w:lvl>
    <w:lvl w:ilvl="4">
      <w:numFmt w:val="bullet"/>
      <w:lvlText w:val="●"/>
      <w:lvlJc w:val="left"/>
      <w:pPr>
        <w:ind w:left="1134" w:hanging="227"/>
      </w:pPr>
      <w:rPr>
        <w:rFonts w:ascii="Noto Sans Symbols" w:eastAsia="Noto Sans Symbols" w:hAnsi="Noto Sans Symbols" w:cs="Noto Sans Symbols"/>
      </w:rPr>
    </w:lvl>
    <w:lvl w:ilvl="5">
      <w:numFmt w:val="bullet"/>
      <w:lvlText w:val="●"/>
      <w:lvlJc w:val="left"/>
      <w:pPr>
        <w:ind w:left="1361" w:hanging="227"/>
      </w:pPr>
      <w:rPr>
        <w:rFonts w:ascii="Noto Sans Symbols" w:eastAsia="Noto Sans Symbols" w:hAnsi="Noto Sans Symbols" w:cs="Noto Sans Symbols"/>
      </w:rPr>
    </w:lvl>
    <w:lvl w:ilvl="6">
      <w:numFmt w:val="bullet"/>
      <w:lvlText w:val="●"/>
      <w:lvlJc w:val="left"/>
      <w:pPr>
        <w:ind w:left="1587" w:hanging="227"/>
      </w:pPr>
      <w:rPr>
        <w:rFonts w:ascii="Noto Sans Symbols" w:eastAsia="Noto Sans Symbols" w:hAnsi="Noto Sans Symbols" w:cs="Noto Sans Symbols"/>
      </w:rPr>
    </w:lvl>
    <w:lvl w:ilvl="7">
      <w:numFmt w:val="bullet"/>
      <w:lvlText w:val="●"/>
      <w:lvlJc w:val="left"/>
      <w:pPr>
        <w:ind w:left="1814" w:hanging="226"/>
      </w:pPr>
      <w:rPr>
        <w:rFonts w:ascii="Noto Sans Symbols" w:eastAsia="Noto Sans Symbols" w:hAnsi="Noto Sans Symbols" w:cs="Noto Sans Symbols"/>
      </w:rPr>
    </w:lvl>
    <w:lvl w:ilvl="8">
      <w:numFmt w:val="bullet"/>
      <w:lvlText w:val="●"/>
      <w:lvlJc w:val="left"/>
      <w:pPr>
        <w:ind w:left="2041" w:hanging="227"/>
      </w:pPr>
      <w:rPr>
        <w:rFonts w:ascii="Noto Sans Symbols" w:eastAsia="Noto Sans Symbols" w:hAnsi="Noto Sans Symbols" w:cs="Noto Sans Symbols"/>
      </w:rPr>
    </w:lvl>
  </w:abstractNum>
  <w:abstractNum w:abstractNumId="2" w15:restartNumberingAfterBreak="0">
    <w:nsid w:val="14C3322C"/>
    <w:multiLevelType w:val="multilevel"/>
    <w:tmpl w:val="F1A63290"/>
    <w:styleLink w:val="WWNum8"/>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3" w15:restartNumberingAfterBreak="0">
    <w:nsid w:val="1A9906FF"/>
    <w:multiLevelType w:val="multilevel"/>
    <w:tmpl w:val="2146BFE0"/>
    <w:styleLink w:val="WWNum2"/>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 w15:restartNumberingAfterBreak="0">
    <w:nsid w:val="38D864A9"/>
    <w:multiLevelType w:val="multilevel"/>
    <w:tmpl w:val="0CE2ADB0"/>
    <w:styleLink w:val="WWNum5"/>
    <w:lvl w:ilvl="0">
      <w:start w:val="1"/>
      <w:numFmt w:val="upperRoman"/>
      <w:lvlText w:val="%1."/>
      <w:lvlJc w:val="right"/>
      <w:pPr>
        <w:ind w:left="754" w:hanging="173"/>
      </w:pPr>
    </w:lvl>
    <w:lvl w:ilvl="1">
      <w:start w:val="1"/>
      <w:numFmt w:val="upperRoman"/>
      <w:lvlText w:val="%2."/>
      <w:lvlJc w:val="right"/>
      <w:pPr>
        <w:ind w:left="1508" w:hanging="174"/>
      </w:pPr>
    </w:lvl>
    <w:lvl w:ilvl="2">
      <w:start w:val="1"/>
      <w:numFmt w:val="upperRoman"/>
      <w:lvlText w:val="%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3"/>
      </w:pPr>
    </w:lvl>
    <w:lvl w:ilvl="5">
      <w:start w:val="1"/>
      <w:numFmt w:val="upperRoman"/>
      <w:lvlText w:val="%6."/>
      <w:lvlJc w:val="right"/>
      <w:pPr>
        <w:ind w:left="3771" w:hanging="173"/>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5" w15:restartNumberingAfterBreak="0">
    <w:nsid w:val="3FD168CE"/>
    <w:multiLevelType w:val="multilevel"/>
    <w:tmpl w:val="E04EAE62"/>
    <w:styleLink w:val="WWNum10"/>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6" w15:restartNumberingAfterBreak="0">
    <w:nsid w:val="41594395"/>
    <w:multiLevelType w:val="multilevel"/>
    <w:tmpl w:val="EE68BADC"/>
    <w:styleLink w:val="WWNum1"/>
    <w:lvl w:ilvl="0">
      <w:start w:val="2"/>
      <w:numFmt w:val="decimal"/>
      <w:lvlText w:val="CAPÍTULO %1 -"/>
      <w:lvlJc w:val="left"/>
      <w:pPr>
        <w:ind w:left="113" w:hanging="113"/>
      </w:pPr>
    </w:lvl>
    <w:lvl w:ilvl="1">
      <w:start w:val="1"/>
      <w:numFmt w:val="decimal"/>
      <w:lvlText w:val=" %1.%2 "/>
      <w:lvlJc w:val="left"/>
      <w:pPr>
        <w:ind w:left="576" w:hanging="576"/>
      </w:pPr>
    </w:lvl>
    <w:lvl w:ilvl="2">
      <w:start w:val="1"/>
      <w:numFmt w:val="decimal"/>
      <w:lvlText w:val=" %1.%2.%3 "/>
      <w:lvlJc w:val="left"/>
      <w:pPr>
        <w:ind w:left="720" w:hanging="720"/>
      </w:pPr>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7" w15:restartNumberingAfterBreak="0">
    <w:nsid w:val="4E3F0526"/>
    <w:multiLevelType w:val="multilevel"/>
    <w:tmpl w:val="7D20A5C2"/>
    <w:styleLink w:val="WWNum11"/>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8" w15:restartNumberingAfterBreak="0">
    <w:nsid w:val="4E514991"/>
    <w:multiLevelType w:val="multilevel"/>
    <w:tmpl w:val="F1FE4FEE"/>
    <w:styleLink w:val="WWNum3"/>
    <w:lvl w:ilvl="0">
      <w:start w:val="1"/>
      <w:numFmt w:val="upperRoman"/>
      <w:lvlText w:val="%1."/>
      <w:lvlJc w:val="right"/>
      <w:pPr>
        <w:ind w:left="754" w:hanging="173"/>
      </w:pPr>
    </w:lvl>
    <w:lvl w:ilvl="1">
      <w:start w:val="1"/>
      <w:numFmt w:val="upperRoman"/>
      <w:lvlText w:val="%2."/>
      <w:lvlJc w:val="right"/>
      <w:pPr>
        <w:ind w:left="1508" w:hanging="174"/>
      </w:pPr>
    </w:lvl>
    <w:lvl w:ilvl="2">
      <w:start w:val="1"/>
      <w:numFmt w:val="upperRoman"/>
      <w:lvlText w:val="%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3"/>
      </w:pPr>
    </w:lvl>
    <w:lvl w:ilvl="5">
      <w:start w:val="1"/>
      <w:numFmt w:val="upperRoman"/>
      <w:lvlText w:val="%6."/>
      <w:lvlJc w:val="right"/>
      <w:pPr>
        <w:ind w:left="3771" w:hanging="173"/>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9" w15:restartNumberingAfterBreak="0">
    <w:nsid w:val="6E6C7923"/>
    <w:multiLevelType w:val="multilevel"/>
    <w:tmpl w:val="F99EEAB2"/>
    <w:styleLink w:val="WWNum9"/>
    <w:lvl w:ilvl="0">
      <w:numFmt w:val="bullet"/>
      <w:lvlText w:val="●"/>
      <w:lvlJc w:val="left"/>
      <w:pPr>
        <w:ind w:left="227" w:hanging="227"/>
      </w:pPr>
      <w:rPr>
        <w:rFonts w:ascii="Noto Sans Symbols" w:eastAsia="Noto Sans Symbols" w:hAnsi="Noto Sans Symbols" w:cs="Noto Sans Symbols"/>
      </w:rPr>
    </w:lvl>
    <w:lvl w:ilvl="1">
      <w:numFmt w:val="bullet"/>
      <w:lvlText w:val="●"/>
      <w:lvlJc w:val="left"/>
      <w:pPr>
        <w:ind w:left="454" w:hanging="227"/>
      </w:pPr>
      <w:rPr>
        <w:rFonts w:ascii="Noto Sans Symbols" w:eastAsia="Noto Sans Symbols" w:hAnsi="Noto Sans Symbols" w:cs="Noto Sans Symbols"/>
      </w:rPr>
    </w:lvl>
    <w:lvl w:ilvl="2">
      <w:numFmt w:val="bullet"/>
      <w:lvlText w:val="●"/>
      <w:lvlJc w:val="left"/>
      <w:pPr>
        <w:ind w:left="680" w:hanging="227"/>
      </w:pPr>
      <w:rPr>
        <w:rFonts w:ascii="Noto Sans Symbols" w:eastAsia="Noto Sans Symbols" w:hAnsi="Noto Sans Symbols" w:cs="Noto Sans Symbols"/>
      </w:rPr>
    </w:lvl>
    <w:lvl w:ilvl="3">
      <w:numFmt w:val="bullet"/>
      <w:lvlText w:val="●"/>
      <w:lvlJc w:val="left"/>
      <w:pPr>
        <w:ind w:left="907" w:hanging="227"/>
      </w:pPr>
      <w:rPr>
        <w:rFonts w:ascii="Noto Sans Symbols" w:eastAsia="Noto Sans Symbols" w:hAnsi="Noto Sans Symbols" w:cs="Noto Sans Symbols"/>
      </w:rPr>
    </w:lvl>
    <w:lvl w:ilvl="4">
      <w:numFmt w:val="bullet"/>
      <w:lvlText w:val="●"/>
      <w:lvlJc w:val="left"/>
      <w:pPr>
        <w:ind w:left="1134" w:hanging="227"/>
      </w:pPr>
      <w:rPr>
        <w:rFonts w:ascii="Noto Sans Symbols" w:eastAsia="Noto Sans Symbols" w:hAnsi="Noto Sans Symbols" w:cs="Noto Sans Symbols"/>
      </w:rPr>
    </w:lvl>
    <w:lvl w:ilvl="5">
      <w:numFmt w:val="bullet"/>
      <w:lvlText w:val="●"/>
      <w:lvlJc w:val="left"/>
      <w:pPr>
        <w:ind w:left="1361" w:hanging="227"/>
      </w:pPr>
      <w:rPr>
        <w:rFonts w:ascii="Noto Sans Symbols" w:eastAsia="Noto Sans Symbols" w:hAnsi="Noto Sans Symbols" w:cs="Noto Sans Symbols"/>
      </w:rPr>
    </w:lvl>
    <w:lvl w:ilvl="6">
      <w:numFmt w:val="bullet"/>
      <w:lvlText w:val="●"/>
      <w:lvlJc w:val="left"/>
      <w:pPr>
        <w:ind w:left="1587" w:hanging="227"/>
      </w:pPr>
      <w:rPr>
        <w:rFonts w:ascii="Noto Sans Symbols" w:eastAsia="Noto Sans Symbols" w:hAnsi="Noto Sans Symbols" w:cs="Noto Sans Symbols"/>
      </w:rPr>
    </w:lvl>
    <w:lvl w:ilvl="7">
      <w:numFmt w:val="bullet"/>
      <w:lvlText w:val="●"/>
      <w:lvlJc w:val="left"/>
      <w:pPr>
        <w:ind w:left="1814" w:hanging="226"/>
      </w:pPr>
      <w:rPr>
        <w:rFonts w:ascii="Noto Sans Symbols" w:eastAsia="Noto Sans Symbols" w:hAnsi="Noto Sans Symbols" w:cs="Noto Sans Symbols"/>
      </w:rPr>
    </w:lvl>
    <w:lvl w:ilvl="8">
      <w:numFmt w:val="bullet"/>
      <w:lvlText w:val="●"/>
      <w:lvlJc w:val="left"/>
      <w:pPr>
        <w:ind w:left="2041" w:hanging="227"/>
      </w:pPr>
      <w:rPr>
        <w:rFonts w:ascii="Noto Sans Symbols" w:eastAsia="Noto Sans Symbols" w:hAnsi="Noto Sans Symbols" w:cs="Noto Sans Symbols"/>
      </w:rPr>
    </w:lvl>
  </w:abstractNum>
  <w:abstractNum w:abstractNumId="10" w15:restartNumberingAfterBreak="0">
    <w:nsid w:val="73CE63F2"/>
    <w:multiLevelType w:val="multilevel"/>
    <w:tmpl w:val="345C38BC"/>
    <w:styleLink w:val="WWNum4"/>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num w:numId="1" w16cid:durableId="2109617702">
    <w:abstractNumId w:val="6"/>
  </w:num>
  <w:num w:numId="2" w16cid:durableId="1272666293">
    <w:abstractNumId w:val="3"/>
  </w:num>
  <w:num w:numId="3" w16cid:durableId="1606691715">
    <w:abstractNumId w:val="8"/>
  </w:num>
  <w:num w:numId="4" w16cid:durableId="149636982">
    <w:abstractNumId w:val="10"/>
  </w:num>
  <w:num w:numId="5" w16cid:durableId="1947693524">
    <w:abstractNumId w:val="4"/>
  </w:num>
  <w:num w:numId="6" w16cid:durableId="548538074">
    <w:abstractNumId w:val="1"/>
  </w:num>
  <w:num w:numId="7" w16cid:durableId="895972029">
    <w:abstractNumId w:val="0"/>
  </w:num>
  <w:num w:numId="8" w16cid:durableId="87390542">
    <w:abstractNumId w:val="2"/>
  </w:num>
  <w:num w:numId="9" w16cid:durableId="426389888">
    <w:abstractNumId w:val="9"/>
  </w:num>
  <w:num w:numId="10" w16cid:durableId="1172599463">
    <w:abstractNumId w:val="5"/>
  </w:num>
  <w:num w:numId="11" w16cid:durableId="1062870706">
    <w:abstractNumId w:val="7"/>
  </w:num>
  <w:num w:numId="12" w16cid:durableId="129248885">
    <w:abstractNumId w:val="6"/>
    <w:lvlOverride w:ilvl="0">
      <w:startOverride w:val="2"/>
    </w:lvlOverride>
  </w:num>
  <w:num w:numId="13" w16cid:durableId="1474516561">
    <w:abstractNumId w:val="4"/>
    <w:lvlOverride w:ilvl="0">
      <w:startOverride w:val="1"/>
    </w:lvlOverride>
  </w:num>
  <w:num w:numId="14" w16cid:durableId="1911424975">
    <w:abstractNumId w:val="10"/>
    <w:lvlOverride w:ilvl="0">
      <w:startOverride w:val="1"/>
    </w:lvlOverride>
  </w:num>
  <w:num w:numId="15" w16cid:durableId="1157382701">
    <w:abstractNumId w:val="0"/>
    <w:lvlOverride w:ilvl="0">
      <w:startOverride w:val="1"/>
    </w:lvlOverride>
  </w:num>
  <w:num w:numId="16" w16cid:durableId="2128113665">
    <w:abstractNumId w:val="1"/>
    <w:lvlOverride w:ilvl="0"/>
  </w:num>
  <w:num w:numId="17" w16cid:durableId="1343698717">
    <w:abstractNumId w:val="2"/>
    <w:lvlOverride w:ilvl="0">
      <w:startOverride w:val="1"/>
    </w:lvlOverride>
  </w:num>
  <w:num w:numId="18" w16cid:durableId="599720276">
    <w:abstractNumId w:val="9"/>
    <w:lvlOverride w:ilvl="0"/>
  </w:num>
  <w:num w:numId="19" w16cid:durableId="1789422750">
    <w:abstractNumId w:val="5"/>
    <w:lvlOverride w:ilvl="0">
      <w:startOverride w:val="1"/>
    </w:lvlOverride>
  </w:num>
  <w:num w:numId="20" w16cid:durableId="1558738896">
    <w:abstractNumId w:val="7"/>
    <w:lvlOverride w:ilvl="0">
      <w:startOverride w:val="1"/>
    </w:lvlOverride>
  </w:num>
  <w:num w:numId="21" w16cid:durableId="296960217">
    <w:abstractNumId w:val="3"/>
    <w:lvlOverride w:ilvl="0">
      <w:startOverride w:val="1"/>
    </w:lvlOverride>
  </w:num>
  <w:num w:numId="22" w16cid:durableId="159455657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3DD7"/>
    <w:rsid w:val="00A1445F"/>
    <w:rsid w:val="00A23DD7"/>
    <w:rsid w:val="00AA4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3C31"/>
  <w15:docId w15:val="{0A6DA8A7-5B49-49DF-A045-457F4475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spacing w:before="240" w:after="120"/>
      <w:ind w:left="113" w:hanging="113"/>
      <w:jc w:val="center"/>
      <w:outlineLvl w:val="0"/>
    </w:pPr>
    <w:rPr>
      <w:rFonts w:ascii="Times New Roman" w:eastAsia="Times New Roman" w:hAnsi="Times New Roman" w:cs="Times New Roman"/>
      <w:b/>
      <w:smallCaps/>
      <w:color w:val="006400"/>
      <w:sz w:val="28"/>
      <w:szCs w:val="28"/>
    </w:rPr>
  </w:style>
  <w:style w:type="paragraph" w:styleId="Ttulo2">
    <w:name w:val="heading 2"/>
    <w:basedOn w:val="Normal"/>
    <w:next w:val="Standard"/>
    <w:uiPriority w:val="9"/>
    <w:unhideWhenUsed/>
    <w:qFormat/>
    <w:pPr>
      <w:keepNext/>
      <w:spacing w:before="340" w:after="170"/>
      <w:outlineLvl w:val="1"/>
    </w:pPr>
    <w:rPr>
      <w:rFonts w:ascii="Times New Roman" w:eastAsia="Times New Roman" w:hAnsi="Times New Roman" w:cs="Times New Roman"/>
      <w:b/>
      <w:smallCaps/>
      <w:color w:val="000000"/>
    </w:rPr>
  </w:style>
  <w:style w:type="paragraph" w:styleId="Ttulo3">
    <w:name w:val="heading 3"/>
    <w:basedOn w:val="Normal"/>
    <w:next w:val="Standard"/>
    <w:uiPriority w:val="9"/>
    <w:unhideWhenUsed/>
    <w:qFormat/>
    <w:pPr>
      <w:keepNext/>
      <w:spacing w:before="340" w:after="170"/>
      <w:ind w:left="720" w:hanging="720"/>
      <w:outlineLvl w:val="2"/>
    </w:pPr>
    <w:rPr>
      <w:rFonts w:ascii="Times New Roman" w:eastAsia="Times New Roman" w:hAnsi="Times New Roman" w:cs="Times New Roman"/>
      <w:b/>
      <w:color w:val="000000"/>
    </w:rPr>
  </w:style>
  <w:style w:type="paragraph" w:styleId="Ttulo4">
    <w:name w:val="heading 4"/>
    <w:basedOn w:val="Normal"/>
    <w:next w:val="Standard"/>
    <w:uiPriority w:val="9"/>
    <w:semiHidden/>
    <w:unhideWhenUsed/>
    <w:qFormat/>
    <w:pPr>
      <w:keepNext/>
      <w:spacing w:before="120" w:after="120"/>
      <w:outlineLvl w:val="3"/>
    </w:pPr>
    <w:rPr>
      <w:rFonts w:ascii="Times New Roman" w:eastAsia="Times New Roman" w:hAnsi="Times New Roman" w:cs="Times New Roman"/>
      <w:b/>
      <w:color w:val="006633"/>
    </w:rPr>
  </w:style>
  <w:style w:type="paragraph" w:styleId="Ttulo5">
    <w:name w:val="heading 5"/>
    <w:basedOn w:val="Normal"/>
    <w:next w:val="Standard"/>
    <w:uiPriority w:val="9"/>
    <w:semiHidden/>
    <w:unhideWhenUsed/>
    <w:qFormat/>
    <w:pPr>
      <w:keepNext/>
      <w:keepLines/>
      <w:spacing w:before="220" w:after="40"/>
      <w:outlineLvl w:val="4"/>
    </w:pPr>
    <w:rPr>
      <w:rFonts w:eastAsia="Calibri" w:cs="Calibri"/>
      <w:b/>
      <w:color w:val="000000"/>
      <w:sz w:val="22"/>
      <w:szCs w:val="22"/>
    </w:rPr>
  </w:style>
  <w:style w:type="paragraph" w:styleId="Ttulo6">
    <w:name w:val="heading 6"/>
    <w:basedOn w:val="Normal"/>
    <w:next w:val="Standard"/>
    <w:uiPriority w:val="9"/>
    <w:semiHidden/>
    <w:unhideWhenUsed/>
    <w:qFormat/>
    <w:pPr>
      <w:keepNext/>
      <w:keepLines/>
      <w:spacing w:before="200" w:after="40"/>
      <w:outlineLvl w:val="5"/>
    </w:pPr>
    <w:rPr>
      <w:rFonts w:eastAsia="Calibri" w:cs="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tandard"/>
    <w:uiPriority w:val="10"/>
    <w:qFormat/>
    <w:pPr>
      <w:keepNext/>
      <w:keepLines/>
      <w:spacing w:before="480" w:after="120"/>
    </w:pPr>
    <w:rPr>
      <w:rFonts w:eastAsia="Calibri" w:cs="Calibri"/>
      <w:b/>
      <w:color w:val="000000"/>
    </w:rPr>
  </w:style>
  <w:style w:type="paragraph" w:styleId="Subttulo">
    <w:name w:val="Subtitle"/>
    <w:basedOn w:val="Normal"/>
    <w:next w:val="Standard"/>
    <w:uiPriority w:val="11"/>
    <w:qFormat/>
    <w:pPr>
      <w:keepNext/>
      <w:keepLines/>
      <w:spacing w:before="340" w:after="170"/>
    </w:pPr>
    <w:rPr>
      <w:rFonts w:ascii="Georgia" w:eastAsia="Georgia" w:hAnsi="Georgia" w:cs="Georgia"/>
      <w:b/>
      <w:color w:val="000000"/>
    </w:rPr>
  </w:style>
  <w:style w:type="paragraph" w:customStyle="1" w:styleId="Footnote">
    <w:name w:val="Footnote"/>
    <w:basedOn w:val="Standard"/>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style>
  <w:style w:type="paragraph" w:styleId="Rodap">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Internetlink">
    <w:name w:val="Internet link"/>
    <w:rPr>
      <w:color w:val="000080"/>
      <w:u w:val="single"/>
      <w:lang/>
    </w:rPr>
  </w:style>
  <w:style w:type="character" w:customStyle="1" w:styleId="IndexLink">
    <w:name w:val="Index Link"/>
  </w:style>
  <w:style w:type="character" w:customStyle="1" w:styleId="ListLabel19">
    <w:name w:val="ListLabel 19"/>
    <w:rPr>
      <w:rFonts w:ascii="Times New Roman" w:eastAsia="Times New Roman" w:hAnsi="Times New Roman" w:cs="Times New Roman"/>
      <w:b w:val="0"/>
      <w:i w:val="0"/>
      <w:caps w:val="0"/>
      <w:smallCaps w:val="0"/>
      <w:strike w:val="0"/>
      <w:dstrike w:val="0"/>
      <w:color w:val="1155CC"/>
      <w:position w:val="0"/>
      <w:sz w:val="24"/>
      <w:szCs w:val="24"/>
      <w:u w:val="single"/>
      <w:vertAlign w:val="baseline"/>
    </w:rPr>
  </w:style>
  <w:style w:type="character" w:customStyle="1" w:styleId="ListLabel20">
    <w:name w:val="ListLabel 20"/>
    <w:rPr>
      <w:color w:val="1155CC"/>
      <w:u w:val="single"/>
    </w:rPr>
  </w:style>
  <w:style w:type="character" w:customStyle="1" w:styleId="ListLabel21">
    <w:name w:val="ListLabel 21"/>
    <w:rPr>
      <w:color w:val="1155CC"/>
      <w:sz w:val="23"/>
      <w:szCs w:val="23"/>
      <w:u w:val="single"/>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30j0zll" TargetMode="External"/><Relationship Id="rId13" Type="http://schemas.openxmlformats.org/officeDocument/2006/relationships/hyperlink" Target="#_3dy6vkm" TargetMode="External"/><Relationship Id="rId18" Type="http://schemas.openxmlformats.org/officeDocument/2006/relationships/hyperlink" Target="#_3rdcrjn" TargetMode="External"/><Relationship Id="rId26" Type="http://schemas.openxmlformats.org/officeDocument/2006/relationships/hyperlink" Target="#_2xcytpi" TargetMode="External"/><Relationship Id="rId39" Type="http://schemas.openxmlformats.org/officeDocument/2006/relationships/hyperlink" Target="https://www.ifsc.edu.br/en/web/portal-do-servidor/procuradoria-federal" TargetMode="External"/><Relationship Id="rId3" Type="http://schemas.openxmlformats.org/officeDocument/2006/relationships/settings" Target="settings.xml"/><Relationship Id="rId21" Type="http://schemas.openxmlformats.org/officeDocument/2006/relationships/hyperlink" Target="#_44sinio" TargetMode="External"/><Relationship Id="rId34" Type="http://schemas.openxmlformats.org/officeDocument/2006/relationships/image" Target="media/image5.jpeg"/><Relationship Id="rId42" Type="http://schemas.openxmlformats.org/officeDocument/2006/relationships/hyperlink" Target="https://www.ifsc.edu.br/politicas" TargetMode="External"/><Relationship Id="rId7" Type="http://schemas.openxmlformats.org/officeDocument/2006/relationships/hyperlink" Target="#_gjdgxs" TargetMode="External"/><Relationship Id="rId12" Type="http://schemas.openxmlformats.org/officeDocument/2006/relationships/hyperlink" Target="#_tyjcwt" TargetMode="External"/><Relationship Id="rId17" Type="http://schemas.openxmlformats.org/officeDocument/2006/relationships/hyperlink" Target="#_17dp8vu" TargetMode="External"/><Relationship Id="rId25" Type="http://schemas.openxmlformats.org/officeDocument/2006/relationships/hyperlink" Target="#_4i7ojhp" TargetMode="External"/><Relationship Id="rId33" Type="http://schemas.openxmlformats.org/officeDocument/2006/relationships/image" Target="media/image4.jpeg"/><Relationship Id="rId38" Type="http://schemas.openxmlformats.org/officeDocument/2006/relationships/hyperlink" Target="https://www.ifsc.edu.br/en/auditoria-intern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_2s8eyo1" TargetMode="External"/><Relationship Id="rId20" Type="http://schemas.openxmlformats.org/officeDocument/2006/relationships/hyperlink" Target="#_1ksv4uv" TargetMode="External"/><Relationship Id="rId29" Type="http://schemas.openxmlformats.org/officeDocument/2006/relationships/image" Target="media/image1.jpeg"/><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2et92p0" TargetMode="External"/><Relationship Id="rId24" Type="http://schemas.openxmlformats.org/officeDocument/2006/relationships/hyperlink" Target="#_3j2qqm3" TargetMode="External"/><Relationship Id="rId32" Type="http://schemas.openxmlformats.org/officeDocument/2006/relationships/image" Target="media/image3.jpeg"/><Relationship Id="rId37" Type="http://schemas.openxmlformats.org/officeDocument/2006/relationships/hyperlink" Target="https://www.ifsc.edu.br/en/web/portal-do-servidor/colegiados-e-comissoes" TargetMode="External"/><Relationship Id="rId40" Type="http://schemas.openxmlformats.org/officeDocument/2006/relationships/image" Target="media/image8.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4d34og8" TargetMode="External"/><Relationship Id="rId23" Type="http://schemas.openxmlformats.org/officeDocument/2006/relationships/hyperlink" Target="#_z337ya" TargetMode="External"/><Relationship Id="rId28" Type="http://schemas.openxmlformats.org/officeDocument/2006/relationships/hyperlink" Target="https://www.ifsc.edu.br/en/estrutura-organizacional" TargetMode="External"/><Relationship Id="rId36" Type="http://schemas.openxmlformats.org/officeDocument/2006/relationships/image" Target="media/image7.jpeg"/><Relationship Id="rId10" Type="http://schemas.openxmlformats.org/officeDocument/2006/relationships/hyperlink" Target="#_3znysh7" TargetMode="External"/><Relationship Id="rId19" Type="http://schemas.openxmlformats.org/officeDocument/2006/relationships/hyperlink" Target="#_lnxbz9" TargetMode="External"/><Relationship Id="rId31" Type="http://schemas.openxmlformats.org/officeDocument/2006/relationships/hyperlink" Target="https://www.ifsc.edu.br/en/web/portal-do-servidor/estrutura-organizacional-e-regimento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_1fob9te" TargetMode="External"/><Relationship Id="rId14" Type="http://schemas.openxmlformats.org/officeDocument/2006/relationships/hyperlink" Target="#_1t3h5sf" TargetMode="External"/><Relationship Id="rId22" Type="http://schemas.openxmlformats.org/officeDocument/2006/relationships/hyperlink" Target="#_2jxsxqh" TargetMode="External"/><Relationship Id="rId27" Type="http://schemas.openxmlformats.org/officeDocument/2006/relationships/hyperlink" Target="#_4ljb4gx3a2hc" TargetMode="External"/><Relationship Id="rId30" Type="http://schemas.openxmlformats.org/officeDocument/2006/relationships/image" Target="media/image2.jpeg"/><Relationship Id="rId35" Type="http://schemas.openxmlformats.org/officeDocument/2006/relationships/image" Target="media/image6.jpeg"/><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rCz1WfGjk6-WnW_3YkBqn_e1-F6l7SlJ/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3347</Words>
  <Characters>18074</Characters>
  <Application>Microsoft Office Word</Application>
  <DocSecurity>0</DocSecurity>
  <Lines>150</Lines>
  <Paragraphs>42</Paragraphs>
  <ScaleCrop>false</ScaleCrop>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Andrade</dc:creator>
  <cp:lastModifiedBy>Felipe Andrade</cp:lastModifiedBy>
  <cp:revision>2</cp:revision>
  <dcterms:created xsi:type="dcterms:W3CDTF">2025-06-24T14:53:00Z</dcterms:created>
  <dcterms:modified xsi:type="dcterms:W3CDTF">2025-06-24T14:53:00Z</dcterms:modified>
</cp:coreProperties>
</file>