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68D0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350DDE09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700BDD74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123B9159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1243AD85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496484E8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304B9DF6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5FF7AC80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3BA184F0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3E75CE3E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4875FF4F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71D04AEB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2B511A"/>
          <w:sz w:val="28"/>
          <w:szCs w:val="28"/>
        </w:rPr>
      </w:pPr>
    </w:p>
    <w:p w14:paraId="5ED715AD" w14:textId="77777777" w:rsidR="00AD241C" w:rsidRDefault="00000000">
      <w:pPr>
        <w:pStyle w:val="Ttulo1"/>
        <w:numPr>
          <w:ilvl w:val="0"/>
          <w:numId w:val="2"/>
        </w:numPr>
      </w:pPr>
      <w:bookmarkStart w:id="0" w:name="_heading=h.kh4h3yl10o6h"/>
      <w:bookmarkEnd w:id="0"/>
      <w:r>
        <w:t>CAPACIDADE E SUSTENTABILIDADE FINANCEIRA</w:t>
      </w:r>
    </w:p>
    <w:p w14:paraId="7C6774DF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CE181E"/>
        </w:rPr>
      </w:pPr>
    </w:p>
    <w:p w14:paraId="27FB85DA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774AB2F7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07C0A578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0498AA44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6FC8929F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7CADC622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3197079B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0A0B8587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770E32B4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76BC191A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291BE213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2DBCAE79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3A7E1AF2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12DC783B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p w14:paraId="2EFD1965" w14:textId="77777777" w:rsidR="00AD241C" w:rsidRDefault="00000000">
      <w:pPr>
        <w:pStyle w:val="normal1"/>
        <w:tabs>
          <w:tab w:val="left" w:pos="850"/>
        </w:tabs>
        <w:spacing w:line="360" w:lineRule="auto"/>
        <w:jc w:val="center"/>
        <w:rPr>
          <w:b/>
          <w:smallCaps/>
          <w:color w:val="2B511A"/>
        </w:rPr>
      </w:pPr>
      <w:r>
        <w:rPr>
          <w:b/>
          <w:smallCaps/>
          <w:color w:val="2B511A"/>
        </w:rPr>
        <w:lastRenderedPageBreak/>
        <w:t>SUMÁRIO</w:t>
      </w:r>
    </w:p>
    <w:p w14:paraId="3EC406BE" w14:textId="77777777" w:rsidR="00AD241C" w:rsidRDefault="00AD241C">
      <w:pPr>
        <w:pStyle w:val="normal1"/>
        <w:tabs>
          <w:tab w:val="left" w:pos="850"/>
        </w:tabs>
        <w:spacing w:line="360" w:lineRule="auto"/>
        <w:jc w:val="center"/>
        <w:rPr>
          <w:rFonts w:eastAsia="Times New Roman" w:cs="Times New Roman"/>
          <w:b/>
          <w:smallCaps/>
          <w:color w:val="006633"/>
        </w:rPr>
      </w:pPr>
    </w:p>
    <w:sdt>
      <w:sdtPr>
        <w:id w:val="-1355221"/>
        <w:docPartObj>
          <w:docPartGallery w:val="Table of Contents"/>
          <w:docPartUnique/>
        </w:docPartObj>
      </w:sdtPr>
      <w:sdtContent>
        <w:p w14:paraId="014372B5" w14:textId="77777777" w:rsidR="00AD241C" w:rsidRDefault="00000000">
          <w:pPr>
            <w:pStyle w:val="normal1"/>
            <w:tabs>
              <w:tab w:val="right" w:pos="12000"/>
            </w:tabs>
            <w:spacing w:before="60"/>
          </w:pPr>
          <w:r>
            <w:fldChar w:fldCharType="begin"/>
          </w:r>
          <w:r>
            <w:rPr>
              <w:rStyle w:val="Vnculodendice"/>
              <w:rFonts w:eastAsia="Times New Roman" w:cs="Times New Roman"/>
              <w:color w:val="000000"/>
            </w:rPr>
            <w:instrText>TOC \o "1-9" \t "Título 1,1,Título 2,2,Título 3,3,Título 4,4,Título 5,5,Título 6,6" \h</w:instrText>
          </w:r>
          <w:r>
            <w:rPr>
              <w:rStyle w:val="Vnculodendice"/>
              <w:rFonts w:eastAsia="Times New Roman" w:cs="Times New Roman"/>
              <w:color w:val="000000"/>
            </w:rPr>
            <w:fldChar w:fldCharType="separate"/>
          </w:r>
          <w:hyperlink w:anchor="_heading=h.kh4h3yl10o6h">
            <w:r>
              <w:rPr>
                <w:rStyle w:val="Vnculodendice"/>
                <w:rFonts w:eastAsia="Times New Roman" w:cs="Times New Roman"/>
                <w:color w:val="000000"/>
              </w:rPr>
              <w:t>Capítulo 5 –  CAPACIDADE E SUSTENTABILIDADE FINANCEIRA</w:t>
            </w:r>
            <w:r>
              <w:rPr>
                <w:rStyle w:val="Vnculodendice"/>
                <w:rFonts w:eastAsia="Times New Roman" w:cs="Times New Roman"/>
                <w:color w:val="000000"/>
              </w:rPr>
              <w:tab/>
              <w:t>1</w:t>
            </w:r>
          </w:hyperlink>
        </w:p>
        <w:p w14:paraId="13942867" w14:textId="77777777" w:rsidR="00AD241C" w:rsidRDefault="00000000">
          <w:pPr>
            <w:pStyle w:val="normal1"/>
            <w:tabs>
              <w:tab w:val="right" w:pos="12000"/>
            </w:tabs>
            <w:spacing w:before="60"/>
            <w:ind w:left="360"/>
          </w:pPr>
          <w:hyperlink w:anchor="_heading=h.ruxznr7bdzov">
            <w:r>
              <w:rPr>
                <w:rStyle w:val="Vnculodendice"/>
                <w:rFonts w:eastAsia="Times New Roman" w:cs="Times New Roman"/>
                <w:color w:val="000000"/>
              </w:rPr>
              <w:t>5.1 SUSTENTABILIDADE FINANCEIRA NO IFSC</w:t>
            </w:r>
            <w:r>
              <w:rPr>
                <w:rStyle w:val="Vnculodendice"/>
                <w:rFonts w:eastAsia="Times New Roman" w:cs="Times New Roman"/>
                <w:color w:val="000000"/>
              </w:rPr>
              <w:tab/>
              <w:t>3</w:t>
            </w:r>
          </w:hyperlink>
        </w:p>
        <w:p w14:paraId="35DEB60F" w14:textId="77777777" w:rsidR="00AD241C" w:rsidRDefault="00000000">
          <w:pPr>
            <w:pStyle w:val="normal1"/>
            <w:tabs>
              <w:tab w:val="right" w:pos="12000"/>
            </w:tabs>
            <w:spacing w:before="60"/>
            <w:ind w:left="720"/>
          </w:pPr>
          <w:hyperlink w:anchor="_heading=h.h2kim1mxsyl4">
            <w:r>
              <w:rPr>
                <w:rStyle w:val="Vnculodendice"/>
                <w:rFonts w:eastAsia="Times New Roman" w:cs="Times New Roman"/>
                <w:color w:val="000000"/>
              </w:rPr>
              <w:t>5.1.1 Estrutura de Orçamento e Finanças no IFSC</w:t>
            </w:r>
            <w:r>
              <w:rPr>
                <w:rStyle w:val="Vnculodendice"/>
                <w:rFonts w:eastAsia="Times New Roman" w:cs="Times New Roman"/>
                <w:color w:val="000000"/>
              </w:rPr>
              <w:tab/>
              <w:t>5</w:t>
            </w:r>
          </w:hyperlink>
        </w:p>
        <w:p w14:paraId="3BFB3D19" w14:textId="77777777" w:rsidR="00AD241C" w:rsidRDefault="00000000">
          <w:pPr>
            <w:pStyle w:val="normal1"/>
            <w:tabs>
              <w:tab w:val="right" w:pos="12000"/>
            </w:tabs>
            <w:spacing w:before="60"/>
            <w:ind w:left="720"/>
          </w:pPr>
          <w:hyperlink w:anchor="_heading=h.zi06xj5y0g8c">
            <w:r>
              <w:rPr>
                <w:rStyle w:val="Vnculodendice"/>
                <w:rFonts w:eastAsia="Times New Roman" w:cs="Times New Roman"/>
                <w:color w:val="000000"/>
              </w:rPr>
              <w:t>5.1.2 Orçamento do IFSC</w:t>
            </w:r>
            <w:r>
              <w:rPr>
                <w:rStyle w:val="Vnculodendice"/>
                <w:rFonts w:eastAsia="Times New Roman" w:cs="Times New Roman"/>
                <w:color w:val="000000"/>
              </w:rPr>
              <w:tab/>
              <w:t>5</w:t>
            </w:r>
          </w:hyperlink>
        </w:p>
        <w:p w14:paraId="3063A992" w14:textId="77777777" w:rsidR="00AD241C" w:rsidRDefault="00000000">
          <w:pPr>
            <w:pStyle w:val="normal1"/>
            <w:tabs>
              <w:tab w:val="right" w:pos="12000"/>
            </w:tabs>
            <w:spacing w:before="60"/>
            <w:ind w:left="720"/>
          </w:pPr>
          <w:hyperlink w:anchor="_heading=h.jbt4rvec9ill">
            <w:r>
              <w:rPr>
                <w:rStyle w:val="Vnculodendice"/>
                <w:rFonts w:eastAsia="Times New Roman" w:cs="Times New Roman"/>
                <w:color w:val="000000"/>
              </w:rPr>
              <w:t>5.1.3 Matriz Conif</w:t>
            </w:r>
            <w:r>
              <w:rPr>
                <w:rStyle w:val="Vnculodendice"/>
                <w:rFonts w:eastAsia="Times New Roman" w:cs="Times New Roman"/>
                <w:color w:val="000000"/>
              </w:rPr>
              <w:tab/>
              <w:t>7</w:t>
            </w:r>
          </w:hyperlink>
        </w:p>
        <w:p w14:paraId="7A6D166F" w14:textId="77777777" w:rsidR="00AD241C" w:rsidRDefault="00000000">
          <w:pPr>
            <w:pStyle w:val="normal1"/>
            <w:tabs>
              <w:tab w:val="right" w:pos="12000"/>
            </w:tabs>
            <w:spacing w:before="60"/>
            <w:ind w:left="360"/>
          </w:pPr>
          <w:hyperlink w:anchor="_heading=h.ma2payzi8s4s">
            <w:r>
              <w:rPr>
                <w:rStyle w:val="Vnculodendice"/>
                <w:rFonts w:eastAsia="Times New Roman" w:cs="Times New Roman"/>
                <w:color w:val="000000"/>
              </w:rPr>
              <w:t>5.2 ESTRATÉGIAS DE GESTÃO ECONÔMICO-FINANCEIRA SUSTENTÁVEL NO IFSC</w:t>
            </w:r>
            <w:r>
              <w:rPr>
                <w:rStyle w:val="Vnculodendice"/>
                <w:rFonts w:eastAsia="Times New Roman" w:cs="Times New Roman"/>
                <w:color w:val="000000"/>
              </w:rPr>
              <w:tab/>
              <w:t>10</w:t>
            </w:r>
          </w:hyperlink>
          <w:r>
            <w:rPr>
              <w:rStyle w:val="Vnculodendice"/>
              <w:rFonts w:eastAsia="Times New Roman" w:cs="Times New Roman"/>
              <w:color w:val="000000"/>
            </w:rPr>
            <w:fldChar w:fldCharType="end"/>
          </w:r>
        </w:p>
      </w:sdtContent>
    </w:sdt>
    <w:p w14:paraId="46029CB5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b/>
          <w:smallCaps/>
          <w:color w:val="006633"/>
        </w:rPr>
      </w:pPr>
    </w:p>
    <w:p w14:paraId="6D42934F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b/>
          <w:smallCaps/>
          <w:color w:val="006633"/>
        </w:rPr>
      </w:pPr>
    </w:p>
    <w:p w14:paraId="2E1A2973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b/>
          <w:smallCaps/>
          <w:color w:val="006633"/>
        </w:rPr>
      </w:pPr>
    </w:p>
    <w:p w14:paraId="3CB4DC0C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016A85D7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6E9D3589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201BBDF6" w14:textId="77777777" w:rsidR="00AD241C" w:rsidRDefault="00000000">
      <w:pPr>
        <w:pStyle w:val="normal1"/>
        <w:tabs>
          <w:tab w:val="left" w:pos="850"/>
        </w:tabs>
        <w:spacing w:line="360" w:lineRule="auto"/>
        <w:jc w:val="both"/>
        <w:rPr>
          <w:b/>
        </w:rPr>
      </w:pPr>
      <w:r>
        <w:rPr>
          <w:b/>
        </w:rPr>
        <w:t>Comissão Temática de Capacidade e Sustentabilidade Financeira</w:t>
      </w:r>
    </w:p>
    <w:p w14:paraId="635348AD" w14:textId="77777777" w:rsidR="00AD241C" w:rsidRDefault="00000000">
      <w:pPr>
        <w:pStyle w:val="normal1"/>
        <w:tabs>
          <w:tab w:val="left" w:pos="850"/>
        </w:tabs>
        <w:spacing w:line="360" w:lineRule="auto"/>
        <w:jc w:val="both"/>
      </w:pPr>
      <w:r>
        <w:t>DEBORAH REJANE MAGNO RIBAS - Diretora de Administração - Presidente</w:t>
      </w:r>
    </w:p>
    <w:p w14:paraId="0D180B8A" w14:textId="77777777" w:rsidR="00AD241C" w:rsidRDefault="00000000">
      <w:pPr>
        <w:pStyle w:val="normal1"/>
        <w:tabs>
          <w:tab w:val="left" w:pos="850"/>
        </w:tabs>
        <w:spacing w:line="360" w:lineRule="auto"/>
        <w:jc w:val="both"/>
      </w:pPr>
      <w:r>
        <w:t>PAULA DE SOUZA MICHELON - Chefe do Departamento de Orçamento e Finanças</w:t>
      </w:r>
    </w:p>
    <w:p w14:paraId="6E7F55D1" w14:textId="77777777" w:rsidR="00AD241C" w:rsidRDefault="00000000">
      <w:pPr>
        <w:pStyle w:val="normal1"/>
        <w:tabs>
          <w:tab w:val="left" w:pos="850"/>
        </w:tabs>
        <w:spacing w:line="360" w:lineRule="auto"/>
        <w:jc w:val="both"/>
      </w:pPr>
      <w:r>
        <w:t>SILVIO APARECIDO DA SILVA - Coordenador de Planejamento e Avaliação Institucional</w:t>
      </w:r>
    </w:p>
    <w:p w14:paraId="260C24F8" w14:textId="77777777" w:rsidR="00AD241C" w:rsidRDefault="00000000">
      <w:pPr>
        <w:pStyle w:val="normal1"/>
        <w:tabs>
          <w:tab w:val="left" w:pos="850"/>
        </w:tabs>
        <w:spacing w:line="360" w:lineRule="auto"/>
        <w:jc w:val="both"/>
      </w:pPr>
      <w:r>
        <w:t xml:space="preserve">EUCLÉSIO SILVÉRIO - Chefe de Departamento de Administração do Câmpus Joinville </w:t>
      </w:r>
    </w:p>
    <w:p w14:paraId="3AF30341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17D0A131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39C4A0B4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4755F34E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4763CFFA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5B2E7F16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21CE63F5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05DD763D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1C0DB989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55937929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159C032C" w14:textId="77777777" w:rsidR="00AD241C" w:rsidRDefault="00AD241C">
      <w:pPr>
        <w:pStyle w:val="normal1"/>
        <w:tabs>
          <w:tab w:val="left" w:pos="850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14:paraId="1D326A54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lastRenderedPageBreak/>
        <w:tab/>
        <w:t>A sustentabilidade é “consequência de um complexo padrão de organização que apresenta cinco características básicas: interdependência, reciclagem, parceria, flexibilidade e diversidade. Se essas características forem aplicadas às sociedades humanas, essas também poderão alcançar a sustentabilidade”. (CAPRA, 2006 apud ROSA, 2007</w:t>
      </w:r>
      <w:r>
        <w:rPr>
          <w:rStyle w:val="ncoradanotaderodap"/>
          <w:color w:val="000000"/>
        </w:rPr>
        <w:footnoteReference w:id="1"/>
      </w:r>
      <w:r>
        <w:rPr>
          <w:color w:val="000000"/>
        </w:rPr>
        <w:t>, p. 47).</w:t>
      </w:r>
    </w:p>
    <w:p w14:paraId="3225ECF6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>“Em termos econômicos, a sustentabilidade prevê que as organizações têm que ser economicamente viáveis, face ao seu papel na sociedade e que deve ser cumprido levando em consideração o aspecto da rentabilidade, dando retorno ao investimento realizado [...]”. (DINIZ DA SILVA, 2010 apud BACHA; SANTOS; SCHAUN, 2010</w:t>
      </w:r>
      <w:r>
        <w:rPr>
          <w:rStyle w:val="ncoradanotaderodap"/>
          <w:color w:val="000000"/>
        </w:rPr>
        <w:footnoteReference w:id="2"/>
      </w:r>
      <w:r>
        <w:rPr>
          <w:color w:val="000000"/>
        </w:rPr>
        <w:t>, p. 8).</w:t>
      </w:r>
    </w:p>
    <w:p w14:paraId="7400680A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>Em resumo, ser sustentável é não gastar ou não planejar gastar mais do que se tem ou que se preveja ter, ou seja, não gerar prejuízo, atuar dentro do planejado, proporcionando o máximo retorno possível em relação ao crédito utilizado.</w:t>
      </w:r>
    </w:p>
    <w:p w14:paraId="4EA43D32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>Para ser sustentável o IFSC precisa aten</w:t>
      </w:r>
      <w:r>
        <w:rPr>
          <w:color w:val="000000"/>
          <w:shd w:val="clear" w:color="auto" w:fill="FFFFFF"/>
        </w:rPr>
        <w:t>der, co</w:t>
      </w:r>
      <w:r>
        <w:rPr>
          <w:color w:val="000000"/>
        </w:rPr>
        <w:t xml:space="preserve">m a máxima qualidade, eficiência e responsabilidade </w:t>
      </w:r>
      <w:r>
        <w:rPr>
          <w:color w:val="000000"/>
          <w:shd w:val="clear" w:color="auto" w:fill="FFFFFF"/>
        </w:rPr>
        <w:t>social, às necess</w:t>
      </w:r>
      <w:r>
        <w:rPr>
          <w:color w:val="000000"/>
        </w:rPr>
        <w:t>idades dos alunos e da sociedade, para que suas despesas programadas não sejam maiores do que a previsão de receitas e estejam dentro do planejado. Sendo assim, o IFSC gerencia os seus recursos financeiros com efetividade, a fim de maximizar os resultados da instituição e otimizar o tempo de atendimento às demandas, por meio do planejamento, da captação, da aplicação e da execução dos recursos financeiros.</w:t>
      </w:r>
    </w:p>
    <w:p w14:paraId="0DCC80DB" w14:textId="77777777" w:rsidR="00AD241C" w:rsidRDefault="00000000">
      <w:pPr>
        <w:pStyle w:val="Ttulo2"/>
        <w:numPr>
          <w:ilvl w:val="1"/>
          <w:numId w:val="2"/>
        </w:numPr>
      </w:pPr>
      <w:bookmarkStart w:id="1" w:name="_heading=h.ruxznr7bdzov"/>
      <w:bookmarkEnd w:id="1"/>
      <w:r>
        <w:t>SUSTENTABILIDADE FINANCEIRA NO IFSC</w:t>
      </w:r>
    </w:p>
    <w:p w14:paraId="7978154A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Considerando a complexidade de gestão de uma instituição multicâmpus e o nível de autonomia administrativa de cada câmpus, para bem atender às necessidades da comunidade acadêmica e da sociedade como um todo é necessário estabelecer diretrizes orçamentárias e estruturas de governança eficientes, além de efetivar a atuação em rede para a otimização dos processos e </w:t>
      </w:r>
      <w:r>
        <w:rPr>
          <w:color w:val="000000"/>
        </w:rPr>
        <w:lastRenderedPageBreak/>
        <w:t>resultados.</w:t>
      </w:r>
    </w:p>
    <w:p w14:paraId="0ED5BFE2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 xml:space="preserve">Desse modo, os câmpus do IFSC atuam em rede visando à integração, à inovação e à efetividade do modelo de gestão institucional em rede, alinhado à otimização dos processos e estruturas implementadoras da estratégia. Os Câmpus são separados para controle em centros de custos, assim, cada câmpus é um centro de custo. A Reitoria, por sua vez, divide-se em nove (09) centros de custos, devido à peculiaridade de atendimentos sistêmicos específicos e ao local da gestão da própria Reitoria. Há, ainda, o IFSC Rede que se consolida como um centro de custos oriundo da contribuição de todos os outros centros </w:t>
      </w:r>
      <w:r>
        <w:rPr>
          <w:rFonts w:eastAsia="Times New Roman" w:cs="Times New Roman"/>
          <w:color w:val="000000"/>
        </w:rPr>
        <w:t xml:space="preserve">de custos citados com o objetivo de atender despesas e investimentos considerados sistêmicos. Apesar de se ter consciência de que muito ainda precisa ser feito e aprimorado, a atuação em rede das unidades que compõem o IFSC tem trazido bons resultados e busca tornar ainda mais eficiente a gestão de seus processos para se alcançar com êxito a missão institucional. </w:t>
      </w:r>
    </w:p>
    <w:p w14:paraId="392EE84A" w14:textId="77777777" w:rsidR="00AD241C" w:rsidRDefault="00000000">
      <w:pPr>
        <w:pStyle w:val="normal1"/>
        <w:spacing w:after="57" w:line="360" w:lineRule="auto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 Lei de Criação dos Institutos Federais prevê a identificação orçamentária por câmpus, que, no momento, é viabilizada pela Matriz Conif (ver seção 5.1.3). É preciso destacar que essa metodologia de divisão é um desenvolvimento da própria Rede Federal de EPCT e que visa o financiamento público dos Institutos Federais (IFs) para atendimento de suas missões junto à sociedade.</w:t>
      </w:r>
    </w:p>
    <w:p w14:paraId="579238A5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rFonts w:eastAsia="Times New Roman" w:cs="Times New Roman"/>
          <w:color w:val="000000"/>
        </w:rPr>
        <w:t xml:space="preserve">Para além da divisão orçamentária definida pela Matriz Conif, é preciso considerar que os recursos destinados ao IFSC por meio da Lei Orçamentária Anual (LOA) não são de cada câmpus ou da Reitoria, são públicos. Assim, as decisões quanto à alocação e à execução desses recursos não podem levar em consideração interesses individuais, políticos e segmentados. É necessária uma atuação técnica e sistêmica para definição das prioridades e necessidades institucionais e das comunidades onde o IFSC está inserido, compreendendo-se que cada câmpus possui especificidades quanto a diversas condições, como número de alunos e de servidores, estrutura física, tempo de funcionamento, qualificação dos servidores e gestores, cursos ofertados, localização, entre outros. Sempre serão necessárias medidas compensatórias na divisão interna de orçamento entre os câmpus. </w:t>
      </w:r>
      <w:r>
        <w:rPr>
          <w:rFonts w:eastAsia="Times New Roman" w:cs="Times New Roman"/>
          <w:color w:val="000000"/>
        </w:rPr>
        <w:br/>
      </w:r>
      <w:r>
        <w:rPr>
          <w:color w:val="000000"/>
        </w:rPr>
        <w:tab/>
        <w:t xml:space="preserve">É primordial, ainda, entender que autonomia administrativa difere de independência e de soberania. A autonomia administrativa é garantida somente quando há justiça e equidade no tratamento das questões entre os envolvidos, com o estabelecimento de critérios técnicos e objetivos, </w:t>
      </w:r>
      <w:r>
        <w:rPr>
          <w:color w:val="000000"/>
        </w:rPr>
        <w:lastRenderedPageBreak/>
        <w:t>visão sistêmica, estabelecimento de diretrizes e regulamentação de processos. Dessa maneira, objetiva-se alcançar transparência e unidade entre os câmpus e a Reitoria para que o IFSC cumpra sua missão.</w:t>
      </w:r>
    </w:p>
    <w:p w14:paraId="1F940303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Por meio da adoção do modelo de gestão em rede colaborativa, solidária e sustentável entre as unidades administrativas, o IFSC busca garantir mais eficiência no gasto público, atuação mais transparente, justa e com mais responsabilidade social.</w:t>
      </w:r>
    </w:p>
    <w:p w14:paraId="0C44413E" w14:textId="77777777" w:rsidR="00AD241C" w:rsidRDefault="00000000">
      <w:pPr>
        <w:pStyle w:val="Ttulo3"/>
        <w:numPr>
          <w:ilvl w:val="2"/>
          <w:numId w:val="2"/>
        </w:numPr>
      </w:pPr>
      <w:bookmarkStart w:id="2" w:name="_heading=h.h2kim1mxsyl4"/>
      <w:bookmarkEnd w:id="2"/>
      <w:r>
        <w:t>Estrutura de Orçamento e Finanças no IFSC</w:t>
      </w:r>
    </w:p>
    <w:p w14:paraId="31878F03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>A gestão orçamentária do IFSC ocorre de forma parcialmente descentralizada: a Reitoria é, atualmente, a única Unidade Gestora Executora (UG-E), enquanto os câmpus são Unidades Gestoras Responsáveis (UG-R).</w:t>
      </w:r>
    </w:p>
    <w:p w14:paraId="3886355D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Cada câmpus planeja e gerencia seu orçamento próprio, porém a execução final é realizada pela Reitoria. Alguns procedimentos, porém, já foram descentralizados para agilizar o processo e capacitar os gestores e servidores dos câmpus para a descentralização orçamentária, tais como a emissão de notas de empenho e a liquidação de notas fiscais.</w:t>
      </w:r>
    </w:p>
    <w:p w14:paraId="0FBA115F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>A divisão orçamentária interna do IFSC é referendada por decisão colegiada (Codir) e combina critérios internos e da Matriz Conif. A referida divisão visa estabelecer um processo justo e dar condições de atendimento na execução dos planejamentos dos centros de custos (câmpus, Reitoria e IFSC Rede).</w:t>
      </w:r>
    </w:p>
    <w:p w14:paraId="70392228" w14:textId="77777777" w:rsidR="00AD241C" w:rsidRDefault="00000000">
      <w:pPr>
        <w:pStyle w:val="Ttulo3"/>
        <w:numPr>
          <w:ilvl w:val="2"/>
          <w:numId w:val="2"/>
        </w:numPr>
      </w:pPr>
      <w:bookmarkStart w:id="3" w:name="_heading=h.zi06xj5y0g8c"/>
      <w:bookmarkEnd w:id="3"/>
      <w:r>
        <w:t>Orçamento do IFSC</w:t>
      </w:r>
    </w:p>
    <w:p w14:paraId="5AE03EA8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Os recursos orçamentários do IFSC advêm do Orçamento Geral da União por meio da LOA, o que permite visualizar os limites da gestão em cada Exercício Financeiro. Os recursos previstos na LOA têm sua execução planejada e dividida em: despesas de pessoal (folha de pagamento), de custeio (funcionamento, manutenção, reformas, serviços, materiais de consumo) e de investimento (obras e aquisição de equipamentos, mobiliários, livros e imóveis).</w:t>
      </w:r>
    </w:p>
    <w:p w14:paraId="67D0A30C" w14:textId="77777777" w:rsidR="00AD241C" w:rsidRDefault="00000000">
      <w:pPr>
        <w:pStyle w:val="normal1"/>
        <w:keepNext/>
        <w:spacing w:before="340" w:after="113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Tabela 5.1</w:t>
      </w:r>
      <w:r>
        <w:rPr>
          <w:color w:val="000000"/>
          <w:sz w:val="22"/>
          <w:szCs w:val="22"/>
        </w:rPr>
        <w:t>. Limites orçamentários do IFSC em 2024.</w:t>
      </w:r>
    </w:p>
    <w:tbl>
      <w:tblPr>
        <w:tblW w:w="9645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2666"/>
        <w:gridCol w:w="4920"/>
        <w:gridCol w:w="2059"/>
      </w:tblGrid>
      <w:tr w:rsidR="00AD241C" w14:paraId="679E0EFA" w14:textId="77777777"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4A0BF267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Subdivisão</w:t>
            </w:r>
          </w:p>
        </w:tc>
        <w:tc>
          <w:tcPr>
            <w:tcW w:w="49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475F3A9A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Discriminação</w:t>
            </w:r>
          </w:p>
        </w:tc>
        <w:tc>
          <w:tcPr>
            <w:tcW w:w="205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4F4D"/>
            <w:vAlign w:val="center"/>
          </w:tcPr>
          <w:p w14:paraId="2B57EFFA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Limites</w:t>
            </w:r>
          </w:p>
        </w:tc>
      </w:tr>
      <w:tr w:rsidR="00AD241C" w14:paraId="550038D4" w14:textId="77777777">
        <w:tc>
          <w:tcPr>
            <w:tcW w:w="2666" w:type="dxa"/>
            <w:vMerge w:val="restart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35B17FC3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FUNCIONAMENTO E CAPACITAÇÃO DA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EDUCAÇÃO PROFISSIONAL E TECNOLÓGICA</w:t>
            </w:r>
          </w:p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57F27BD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Capacitação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A247DF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R$ 389.653</w:t>
            </w:r>
          </w:p>
        </w:tc>
      </w:tr>
      <w:tr w:rsidR="00AD241C" w14:paraId="1F2F0983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0490F24A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7ABA91F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Custeio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F83D27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R$ 58.049.541</w:t>
            </w:r>
          </w:p>
        </w:tc>
      </w:tr>
      <w:tr w:rsidR="00AD241C" w14:paraId="13C5CE10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6A8CA2FB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0556076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6624A3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R$ 2.417.693</w:t>
            </w:r>
          </w:p>
        </w:tc>
      </w:tr>
      <w:tr w:rsidR="00AD241C" w14:paraId="20CD71A7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267F0A7D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2C22C9B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Fomento às Ações Ensino, Pesquisa, Extensão e Inovação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E36364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R$ 1.157.240</w:t>
            </w:r>
          </w:p>
        </w:tc>
      </w:tr>
      <w:tr w:rsidR="00AD241C" w14:paraId="1C6BD791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048DD310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FE6B38D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082FE8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R$ 62.014.127</w:t>
            </w:r>
          </w:p>
        </w:tc>
      </w:tr>
      <w:tr w:rsidR="00AD241C" w14:paraId="18453516" w14:textId="77777777">
        <w:tc>
          <w:tcPr>
            <w:tcW w:w="2666" w:type="dxa"/>
            <w:vMerge w:val="restart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0398A93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MAIS LIMITES ORÇAMENTÁRIOS</w:t>
            </w:r>
          </w:p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A860C61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Despesas Correntes - recursos próprios (fonte 105)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395E37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R$ 5.342</w:t>
            </w:r>
          </w:p>
        </w:tc>
      </w:tr>
      <w:tr w:rsidR="00AD241C" w14:paraId="7D0B8F0C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32125E71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5BDD98A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Anuidade do Conif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F4F375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R$ 94.089</w:t>
            </w:r>
          </w:p>
        </w:tc>
      </w:tr>
      <w:tr w:rsidR="00AD241C" w14:paraId="42191A62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3F7BBC44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8F24EC1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Assistência Estudantil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2C3F19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  17.512.350</w:t>
            </w:r>
          </w:p>
        </w:tc>
      </w:tr>
      <w:tr w:rsidR="00AD241C" w14:paraId="2B975BC2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5815EF3A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C8764CD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Reestruturação e Modernização dos Institutos Federais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132F96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R$ 517.485</w:t>
            </w:r>
          </w:p>
        </w:tc>
      </w:tr>
      <w:tr w:rsidR="00AD241C" w14:paraId="62DA9235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68A7EBCE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D0E1EDF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Publicidade de Utilidade Pública no estado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1C30D1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R$ 250.000</w:t>
            </w:r>
          </w:p>
        </w:tc>
      </w:tr>
      <w:tr w:rsidR="00AD241C" w14:paraId="3965473F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627ED84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4CFE13A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6006D1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R$ 18.379.266</w:t>
            </w:r>
          </w:p>
        </w:tc>
      </w:tr>
      <w:tr w:rsidR="00AD241C" w14:paraId="5690FC8B" w14:textId="77777777">
        <w:tc>
          <w:tcPr>
            <w:tcW w:w="2666" w:type="dxa"/>
            <w:vMerge w:val="restart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D6B1174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PESSOAL E ENCARGOS</w:t>
            </w:r>
          </w:p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F89799E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Inativos e Pensionistas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80B5A3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R$ 92.605.812</w:t>
            </w:r>
          </w:p>
        </w:tc>
      </w:tr>
      <w:tr w:rsidR="00AD241C" w14:paraId="68561DF4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13355769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06714BD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Pessoal Ativo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D9355F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R$ 484.426.994</w:t>
            </w:r>
          </w:p>
        </w:tc>
      </w:tr>
      <w:tr w:rsidR="00AD241C" w14:paraId="030B4422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4AC80272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612B58A" w14:textId="77777777" w:rsidR="00AD241C" w:rsidRDefault="00000000">
            <w:pPr>
              <w:pStyle w:val="normal1"/>
              <w:spacing w:line="288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PASEP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6CB5F13" w14:textId="77777777" w:rsidR="00AD241C" w:rsidRDefault="00000000">
            <w:pPr>
              <w:pStyle w:val="normal1"/>
              <w:spacing w:line="288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R$ 84.622.003</w:t>
            </w:r>
          </w:p>
        </w:tc>
      </w:tr>
      <w:tr w:rsidR="00AD241C" w14:paraId="01EE9FF7" w14:textId="77777777">
        <w:tc>
          <w:tcPr>
            <w:tcW w:w="2666" w:type="dxa"/>
            <w:vMerge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624172DD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3E07011" w14:textId="77777777" w:rsidR="00AD241C" w:rsidRDefault="00000000">
            <w:pPr>
              <w:pStyle w:val="normal1"/>
              <w:spacing w:line="288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437F63F" w14:textId="77777777" w:rsidR="00AD241C" w:rsidRDefault="00000000">
            <w:pPr>
              <w:pStyle w:val="normal1"/>
              <w:spacing w:line="288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R$ 661.654.809</w:t>
            </w:r>
          </w:p>
        </w:tc>
      </w:tr>
      <w:tr w:rsidR="00AD241C" w14:paraId="1A3EEEAD" w14:textId="77777777">
        <w:tc>
          <w:tcPr>
            <w:tcW w:w="2666" w:type="dxa"/>
            <w:vMerge w:val="restart"/>
            <w:tcBorders>
              <w:top w:val="dotted" w:sz="4" w:space="0" w:color="000000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3A7B6860" w14:textId="77777777" w:rsidR="00AD241C" w:rsidRDefault="00000000">
            <w:pPr>
              <w:pStyle w:val="normal1"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OUTROS VALORES DA FOLHA DE PESSOAL</w:t>
            </w:r>
          </w:p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B5FF3B6" w14:textId="77777777" w:rsidR="00AD241C" w:rsidRDefault="00000000">
            <w:pPr>
              <w:pStyle w:val="normal1"/>
              <w:spacing w:line="288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Assistência e Auxílios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B154684" w14:textId="77777777" w:rsidR="00AD241C" w:rsidRDefault="00000000">
            <w:pPr>
              <w:pStyle w:val="normal1"/>
              <w:spacing w:line="288" w:lineRule="auto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R$ 5.148.303</w:t>
            </w:r>
          </w:p>
        </w:tc>
      </w:tr>
      <w:tr w:rsidR="00AD241C" w14:paraId="6259E733" w14:textId="77777777">
        <w:tc>
          <w:tcPr>
            <w:tcW w:w="2666" w:type="dxa"/>
            <w:vMerge/>
            <w:tcBorders>
              <w:top w:val="dotted" w:sz="4" w:space="0" w:color="000000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B572994" w14:textId="77777777" w:rsidR="00AD241C" w:rsidRDefault="00AD241C"/>
        </w:tc>
        <w:tc>
          <w:tcPr>
            <w:tcW w:w="492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9E2FE96" w14:textId="77777777" w:rsidR="00AD241C" w:rsidRDefault="00000000">
            <w:pPr>
              <w:pStyle w:val="normal1"/>
              <w:spacing w:line="288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44DA904" w14:textId="77777777" w:rsidR="00AD241C" w:rsidRDefault="00000000">
            <w:pPr>
              <w:pStyle w:val="normal1"/>
              <w:spacing w:line="288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R$ 5.148.303</w:t>
            </w:r>
          </w:p>
        </w:tc>
      </w:tr>
      <w:tr w:rsidR="00AD241C" w14:paraId="29993933" w14:textId="77777777">
        <w:tc>
          <w:tcPr>
            <w:tcW w:w="75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EEE"/>
            <w:vAlign w:val="center"/>
          </w:tcPr>
          <w:p w14:paraId="2E078D55" w14:textId="77777777" w:rsidR="00AD241C" w:rsidRDefault="00000000">
            <w:pPr>
              <w:pStyle w:val="normal1"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059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72C5CEBE" w14:textId="77777777" w:rsidR="00AD241C" w:rsidRDefault="00000000">
            <w:pPr>
              <w:pStyle w:val="normal1"/>
              <w:spacing w:line="288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R$ 747.196.505</w:t>
            </w:r>
          </w:p>
        </w:tc>
      </w:tr>
    </w:tbl>
    <w:p w14:paraId="76341BD6" w14:textId="77777777" w:rsidR="00AD241C" w:rsidRDefault="00000000">
      <w:pPr>
        <w:pStyle w:val="normal1"/>
        <w:spacing w:line="360" w:lineRule="auto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Fonte: Lei Orçamentária Anual, 2024.</w:t>
      </w:r>
    </w:p>
    <w:p w14:paraId="481CD76E" w14:textId="77777777" w:rsidR="00AD241C" w:rsidRDefault="00AD241C">
      <w:pPr>
        <w:pStyle w:val="normal1"/>
        <w:spacing w:after="57"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15816603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>O orçamento inicial do IFSC para 2024, com recursos do Tesouro, atingiu cerca de</w:t>
      </w:r>
      <w:r>
        <w:rPr>
          <w:color w:val="3465A4"/>
        </w:rPr>
        <w:t xml:space="preserve"> 747</w:t>
      </w:r>
      <w:r>
        <w:rPr>
          <w:color w:val="000000"/>
        </w:rPr>
        <w:t xml:space="preserve"> milhões de reais, compreendendo as despesas com pessoal ativo e inativo, pensionistas, encargos sociais, benefícios aos servidores, manutenção e investimentos (Tabela 5.1.).</w:t>
      </w:r>
    </w:p>
    <w:p w14:paraId="20334CC5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O orçamento destinado ao cumprimento das despesas com pessoal ativo e inativo, pensionistas, encargos sociais e benefícios aos servidores vem sendo administrado de forma direta pela Subsecretaria de Planejamento e Orçamento do MEC (SPO/MEC), cabendo à gestão do IFSC informar eventuais reestimativas dentro do exercício. </w:t>
      </w:r>
    </w:p>
    <w:p w14:paraId="6B14E693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Além desses recursos, o IFSC conta, também, com: recursos diretamente arrecadados (recursos próprios); orçamento próprio para projetos/programas específicos, tais como Mediotec e UAB; recursos das descentralizações de créditos de outros entes; eventuais emendas parlamentares; e convênios públicos e privados. A instituição firma convênios e termos de cooperação com a Setec, a Capes, o Fundo Nacional de Desenvolvimento da Educação (FNDE) e outros órgãos públicos de fomento. Esses convênios e termos de cooperação permitem ampliar o nível de investimentos e desenvolver outros projetos de ensino, pesquisa e extensão.</w:t>
      </w:r>
    </w:p>
    <w:p w14:paraId="1BDE7A69" w14:textId="3B5EBB09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Os recursos oriundos das descentralizações de créditos são, em sua grande </w:t>
      </w:r>
      <w:r w:rsidR="007C3556">
        <w:rPr>
          <w:color w:val="000000"/>
        </w:rPr>
        <w:t>maioria, firmados</w:t>
      </w:r>
      <w:r>
        <w:rPr>
          <w:color w:val="000000"/>
        </w:rPr>
        <w:t xml:space="preserve"> por meio de Termos de Cooperação com a Setec, que subsidia as ações de expansão e melhoria da educação profissional e tecnológica e exige acompanhamento e prestação de contas.</w:t>
      </w:r>
    </w:p>
    <w:p w14:paraId="410ABBED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ab/>
        <w:t>Os recursos diretamente arrecadados, as descentralizações de créditos e as emendas parlamentares são distribuídos com base em alguns critérios gerais e específicos:</w:t>
      </w:r>
    </w:p>
    <w:p w14:paraId="53D84C43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>a) Critérios Gerais:</w:t>
      </w:r>
    </w:p>
    <w:p w14:paraId="2BF28606" w14:textId="77777777" w:rsidR="00AD241C" w:rsidRDefault="00000000">
      <w:pPr>
        <w:pStyle w:val="normal1"/>
        <w:numPr>
          <w:ilvl w:val="0"/>
          <w:numId w:val="4"/>
        </w:numPr>
        <w:spacing w:after="57" w:line="360" w:lineRule="auto"/>
        <w:jc w:val="both"/>
        <w:rPr>
          <w:color w:val="000000"/>
        </w:rPr>
      </w:pPr>
      <w:r>
        <w:rPr>
          <w:color w:val="000000"/>
        </w:rPr>
        <w:t>Devem estar de acordo com o Plano Plurianual (PPA), com a Lei de Diretrizes Orçamentárias (LDO) e Lei Orçamentária Anual (LOA)</w:t>
      </w:r>
    </w:p>
    <w:p w14:paraId="120C6C4C" w14:textId="77777777" w:rsidR="00AD241C" w:rsidRDefault="00000000">
      <w:pPr>
        <w:pStyle w:val="normal1"/>
        <w:numPr>
          <w:ilvl w:val="0"/>
          <w:numId w:val="4"/>
        </w:numPr>
        <w:spacing w:after="57" w:line="360" w:lineRule="auto"/>
        <w:jc w:val="both"/>
        <w:rPr>
          <w:color w:val="000000"/>
        </w:rPr>
      </w:pPr>
      <w:r>
        <w:rPr>
          <w:color w:val="000000"/>
        </w:rPr>
        <w:t xml:space="preserve">Vinculados ao Plano de Desenvolvimento Institucional do IFSC (PDI) </w:t>
      </w:r>
    </w:p>
    <w:p w14:paraId="01A36A78" w14:textId="77777777" w:rsidR="00AD241C" w:rsidRDefault="00000000">
      <w:pPr>
        <w:pStyle w:val="normal1"/>
        <w:numPr>
          <w:ilvl w:val="0"/>
          <w:numId w:val="4"/>
        </w:numPr>
        <w:spacing w:after="57" w:line="360" w:lineRule="auto"/>
        <w:jc w:val="both"/>
        <w:rPr>
          <w:color w:val="000000"/>
        </w:rPr>
      </w:pPr>
      <w:r>
        <w:rPr>
          <w:color w:val="000000"/>
        </w:rPr>
        <w:t>Vinculados ao atingimento dos Objetivos Estratégicos do IFSC</w:t>
      </w:r>
    </w:p>
    <w:p w14:paraId="75381C50" w14:textId="77777777" w:rsidR="00AD241C" w:rsidRDefault="00000000">
      <w:pPr>
        <w:pStyle w:val="normal1"/>
        <w:numPr>
          <w:ilvl w:val="0"/>
          <w:numId w:val="4"/>
        </w:numPr>
        <w:spacing w:after="57" w:line="360" w:lineRule="auto"/>
        <w:jc w:val="both"/>
        <w:rPr>
          <w:color w:val="000000"/>
        </w:rPr>
      </w:pPr>
      <w:r>
        <w:rPr>
          <w:color w:val="000000"/>
        </w:rPr>
        <w:t>Amparados no Plano Anual de Trabalho de cada centro de custos do IFSC</w:t>
      </w:r>
    </w:p>
    <w:p w14:paraId="04A3150A" w14:textId="77777777" w:rsidR="00AD241C" w:rsidRDefault="00000000">
      <w:pPr>
        <w:pStyle w:val="normal1"/>
        <w:spacing w:after="57" w:line="360" w:lineRule="auto"/>
        <w:ind w:left="720"/>
        <w:jc w:val="both"/>
        <w:rPr>
          <w:color w:val="000000"/>
        </w:rPr>
      </w:pPr>
      <w:r>
        <w:rPr>
          <w:color w:val="000000"/>
        </w:rPr>
        <w:t>b) Critérios Específicos:</w:t>
      </w:r>
    </w:p>
    <w:p w14:paraId="7F6AD5E7" w14:textId="77777777" w:rsidR="00AD241C" w:rsidRDefault="00000000">
      <w:pPr>
        <w:pStyle w:val="normal1"/>
        <w:numPr>
          <w:ilvl w:val="0"/>
          <w:numId w:val="3"/>
        </w:numPr>
        <w:spacing w:line="360" w:lineRule="auto"/>
        <w:ind w:left="737"/>
        <w:jc w:val="both"/>
        <w:rPr>
          <w:color w:val="000000"/>
        </w:rPr>
      </w:pPr>
      <w:r>
        <w:rPr>
          <w:color w:val="000000"/>
        </w:rPr>
        <w:t xml:space="preserve"> Amparados pelos critérios estabelecidos no PDTI do IFSC</w:t>
      </w:r>
    </w:p>
    <w:p w14:paraId="409D04BD" w14:textId="77777777" w:rsidR="00AD241C" w:rsidRDefault="00000000">
      <w:pPr>
        <w:pStyle w:val="normal1"/>
        <w:numPr>
          <w:ilvl w:val="0"/>
          <w:numId w:val="3"/>
        </w:numPr>
        <w:spacing w:line="360" w:lineRule="auto"/>
        <w:ind w:left="737"/>
        <w:jc w:val="both"/>
        <w:rPr>
          <w:color w:val="000000"/>
        </w:rPr>
      </w:pPr>
      <w:r>
        <w:rPr>
          <w:color w:val="000000"/>
        </w:rPr>
        <w:t>Amparados pelos critérios estabelecidos no planejamento de engenharia do IFSC</w:t>
      </w:r>
    </w:p>
    <w:p w14:paraId="62CBB062" w14:textId="77777777" w:rsidR="00AD241C" w:rsidRDefault="00000000">
      <w:pPr>
        <w:pStyle w:val="normal1"/>
        <w:numPr>
          <w:ilvl w:val="0"/>
          <w:numId w:val="3"/>
        </w:numPr>
        <w:spacing w:line="360" w:lineRule="auto"/>
        <w:ind w:left="737"/>
        <w:jc w:val="both"/>
        <w:rPr>
          <w:color w:val="000000"/>
        </w:rPr>
      </w:pPr>
      <w:r>
        <w:rPr>
          <w:color w:val="000000"/>
        </w:rPr>
        <w:t>Lançados no Plano de Contratação Anual do IFSC</w:t>
      </w:r>
    </w:p>
    <w:p w14:paraId="3B3A84C1" w14:textId="77777777" w:rsidR="00AD241C" w:rsidRDefault="00000000">
      <w:pPr>
        <w:pStyle w:val="normal1"/>
        <w:numPr>
          <w:ilvl w:val="0"/>
          <w:numId w:val="3"/>
        </w:numPr>
        <w:spacing w:line="360" w:lineRule="auto"/>
        <w:ind w:left="737"/>
        <w:jc w:val="both"/>
        <w:rPr>
          <w:color w:val="000000"/>
        </w:rPr>
      </w:pPr>
      <w:r>
        <w:rPr>
          <w:color w:val="000000"/>
        </w:rPr>
        <w:t>Amparados e de acordo com os conjuntos normativos interno e externo inerentes às despesas e aos investimentos efetuados no IFSC.</w:t>
      </w:r>
    </w:p>
    <w:p w14:paraId="4F03C232" w14:textId="77777777" w:rsidR="00AD241C" w:rsidRDefault="00000000">
      <w:pPr>
        <w:pStyle w:val="Ttulo3"/>
        <w:numPr>
          <w:ilvl w:val="2"/>
          <w:numId w:val="2"/>
        </w:numPr>
      </w:pPr>
      <w:bookmarkStart w:id="4" w:name="_heading=h.jbt4rvec9ill"/>
      <w:bookmarkEnd w:id="4"/>
      <w:r>
        <w:t>Matriz Conif</w:t>
      </w:r>
    </w:p>
    <w:p w14:paraId="5E3DC916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>A parcela do orçamento da União referente às despesas de investimento e custeio, aquelas não relativas a pessoal e investimento, previstas na LOA para a Rede Federal de Educação Profissional e Tecnológica - é dividida entre os Institutos Federais pela SPO/MEC, com base em uma matriz parametrizada, denominada Matriz Conif.</w:t>
      </w:r>
    </w:p>
    <w:p w14:paraId="0358316E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>Essa matriz é um modelo matemático e indutor de políticas para a EPT, elaborada por meio de discussões conjuntas entre a Setec e o Conselho Nacional das Instituições da Rede Federal de Educação Profissional, Científica e Tecnológica (Conif), por meio do seu Fórum de Planejamento e Administração (Fo</w:t>
      </w:r>
      <w:r>
        <w:rPr>
          <w:color w:val="000000"/>
          <w:shd w:val="clear" w:color="auto" w:fill="FFFFFF"/>
        </w:rPr>
        <w:t>rplan).</w:t>
      </w:r>
    </w:p>
    <w:p w14:paraId="696CF3AB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 xml:space="preserve">A metodologia que vem sendo utilizada para distribuição dos recursos destinados aos Institutos Federais de Educação, Ciência e Tecnologia foi modificada em 2024, para efeito de composição e cálculos, melhorando suas estruturas e alguns parâmetros, sendo que a principal alteração foi a incorporação de indicadores de qualidade e eficiência. Destacam-se as modificações:  Índice de Eficiência Acadêmica (IEA); Relação Aluno/Professor Presencial (RAPP) e Índice de </w:t>
      </w:r>
      <w:r>
        <w:rPr>
          <w:color w:val="000000"/>
        </w:rPr>
        <w:lastRenderedPageBreak/>
        <w:t xml:space="preserve">Atendimento aos Marcos Legais (IAML). A estrutura de distribuição dos créditos na Matriz se </w:t>
      </w:r>
      <w:r>
        <w:t>divide</w:t>
      </w:r>
      <w:r>
        <w:rPr>
          <w:color w:val="000000"/>
        </w:rPr>
        <w:t xml:space="preserve"> em: 80% para os câmpus, utilizando distribuição por matrícula, incluindo a assistência estudantil; e 20% para a Reitoria, sendo 10% também utilizando distribuição por matrícula e 10% utilizando-se os índices de qualidade e eficiência institucional. </w:t>
      </w:r>
    </w:p>
    <w:p w14:paraId="13CCD57E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>As informações são oriundas do Sistec e apresentadas na Plataforma Nilo Peçanha (PNP). A metodologia prevê: a importação dos dados na PNP; a conferência da extração da PNP; a parametrização por câmpus; a checagem das matrículas totais pelas instituições para validação dos dados; e, por fim, a geração da Matriz.</w:t>
      </w:r>
    </w:p>
    <w:p w14:paraId="34270B9B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>O tratamento das matrículas para composição da Matriz considera as seguintes questões: equalização pela carga horária e dias ativos e a ponderação pelos pesos dos cursos, considerada a bonificação quando o curso for ligado à agropecuária. Já, a equalização da matrícula envolve: tipo de curso; tipo de oferta; início e fim do ciclo; carga horária; duração do ciclo e dias ativos no ciclo. Para cursos a distância, há um orçamento extra, com peso diferenciado. Para o cálculo da assistência estudantil, por sua vez, há influência do IDH, além de serem considerados o internato e o cálculo de matrícula equalizada.</w:t>
      </w:r>
    </w:p>
    <w:p w14:paraId="58F50210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Após esses ajustes e discussões entre o Conif e a Setec, a instituição tem seu orçamento previsto (PLOA) e posteriormente aprovado pelo Congresso Nacional, na Lei Orçamentária Anual (LOA).</w:t>
      </w:r>
    </w:p>
    <w:p w14:paraId="4A5D07F6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É muito importante que a Instituição prime na divisão interna dos recursos pela similaridade com a referida metodologia utilizada na Matriz, pois ela é propulsora de políticas públicas em relação a EPT. Os cuidados com a gestão de riscos e com a governança em relação à execução do   orçamento do IFSC é primordial para que sejam atingidos os objetivos da instituição. A participação, transparência e organização de todos os atores envolvidos na execução orçamentária fundamentam este processo.</w:t>
      </w:r>
    </w:p>
    <w:p w14:paraId="6E0754A3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Os créditos aprovados e distribuídos na Matriz Conif, após negociação com o Governo Federal, geram as informações para a LOA, com créditos orçamentários vinculados às ações determinadas na funcional programática.</w:t>
      </w:r>
    </w:p>
    <w:p w14:paraId="2A46DD1D" w14:textId="77777777" w:rsidR="00AD241C" w:rsidRDefault="00000000">
      <w:pPr>
        <w:pStyle w:val="normal1"/>
        <w:spacing w:after="57" w:line="360" w:lineRule="auto"/>
        <w:ind w:firstLine="709"/>
        <w:jc w:val="both"/>
        <w:sectPr w:rsidR="00AD241C">
          <w:headerReference w:type="default" r:id="rId7"/>
          <w:footerReference w:type="default" r:id="rId8"/>
          <w:pgSz w:w="11906" w:h="16838"/>
          <w:pgMar w:top="2693" w:right="1134" w:bottom="1766" w:left="1134" w:header="567" w:footer="567" w:gutter="0"/>
          <w:pgNumType w:start="1"/>
          <w:cols w:space="720"/>
          <w:formProt w:val="0"/>
          <w:docGrid w:linePitch="100"/>
        </w:sectPr>
      </w:pPr>
      <w:r>
        <w:rPr>
          <w:color w:val="000000"/>
        </w:rPr>
        <w:tab/>
        <w:t xml:space="preserve">Além disso, a seção da LOA destinada a cada Instituto Federal relaciona, também, créditos orçamentários referentes à folha de pagamento dos servidores e outras ações específicas, para as quais </w:t>
      </w:r>
      <w:r>
        <w:rPr>
          <w:color w:val="000000"/>
        </w:rPr>
        <w:lastRenderedPageBreak/>
        <w:t>não é possível estabelecer uma estimativa. A Tabela 5.2 apresenta a série histórica dos créditos orçamentários destinados ao IFSC evidenciados na LOA de cada ano, conforme os agrupamentos de tipos de finalidades de ações orçamentárias, a fim de permitir a verificação de tendências para os cinco anos de vigência do PD</w:t>
      </w:r>
      <w:bookmarkStart w:id="5" w:name="bookmark=id.7ae8dxy21uvd"/>
      <w:bookmarkEnd w:id="5"/>
      <w:r>
        <w:rPr>
          <w:color w:val="000000"/>
        </w:rPr>
        <w:t>I.</w:t>
      </w:r>
    </w:p>
    <w:p w14:paraId="7B9D6A96" w14:textId="77777777" w:rsidR="00AD241C" w:rsidRDefault="00000000">
      <w:pPr>
        <w:pStyle w:val="normal1"/>
        <w:keepNext/>
        <w:spacing w:after="113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Tabela 5.2.</w:t>
      </w:r>
      <w:r>
        <w:rPr>
          <w:color w:val="000000"/>
          <w:sz w:val="22"/>
          <w:szCs w:val="22"/>
        </w:rPr>
        <w:t xml:space="preserve"> Série histórica dos créditos orçamentários destinados ao IFSC, por grupos de ações orçamentárias. </w:t>
      </w:r>
    </w:p>
    <w:tbl>
      <w:tblPr>
        <w:tblW w:w="14538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1078"/>
        <w:gridCol w:w="1079"/>
        <w:gridCol w:w="1080"/>
        <w:gridCol w:w="1079"/>
        <w:gridCol w:w="1079"/>
        <w:gridCol w:w="1078"/>
        <w:gridCol w:w="1079"/>
        <w:gridCol w:w="1057"/>
        <w:gridCol w:w="1101"/>
        <w:gridCol w:w="1058"/>
        <w:gridCol w:w="1101"/>
      </w:tblGrid>
      <w:tr w:rsidR="00AD241C" w14:paraId="1A5EE578" w14:textId="77777777">
        <w:trPr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610F0084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Grupo de ações orçamentárias</w:t>
            </w:r>
          </w:p>
        </w:tc>
        <w:tc>
          <w:tcPr>
            <w:tcW w:w="107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1793A3E5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2014 (R$)</w:t>
            </w:r>
          </w:p>
        </w:tc>
        <w:tc>
          <w:tcPr>
            <w:tcW w:w="10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160336CD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2015 (R$)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145A0934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2016 (R$)</w:t>
            </w:r>
          </w:p>
        </w:tc>
        <w:tc>
          <w:tcPr>
            <w:tcW w:w="10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5D1FC23E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2017 (R$)</w:t>
            </w:r>
          </w:p>
        </w:tc>
        <w:tc>
          <w:tcPr>
            <w:tcW w:w="10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266BA0C3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2018 (R$)</w:t>
            </w:r>
          </w:p>
        </w:tc>
        <w:tc>
          <w:tcPr>
            <w:tcW w:w="107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0A032352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2019 (R$)</w:t>
            </w:r>
          </w:p>
        </w:tc>
        <w:tc>
          <w:tcPr>
            <w:tcW w:w="10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356EC965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2020 (R$)</w:t>
            </w:r>
          </w:p>
        </w:tc>
        <w:tc>
          <w:tcPr>
            <w:tcW w:w="10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763101E7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2021 (R$)</w:t>
            </w:r>
          </w:p>
        </w:tc>
        <w:tc>
          <w:tcPr>
            <w:tcW w:w="11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5122EF6E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2022 (R$)</w:t>
            </w:r>
          </w:p>
        </w:tc>
        <w:tc>
          <w:tcPr>
            <w:tcW w:w="10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D4F4D"/>
            <w:vAlign w:val="center"/>
          </w:tcPr>
          <w:p w14:paraId="44483A2F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2023 (R$)</w:t>
            </w:r>
          </w:p>
        </w:tc>
        <w:tc>
          <w:tcPr>
            <w:tcW w:w="11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D4F4D"/>
            <w:vAlign w:val="center"/>
          </w:tcPr>
          <w:p w14:paraId="21ECF425" w14:textId="77777777" w:rsidR="00AD241C" w:rsidRDefault="00000000">
            <w:pPr>
              <w:pStyle w:val="normal1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2024 (R$)</w:t>
            </w:r>
          </w:p>
        </w:tc>
      </w:tr>
      <w:tr w:rsidR="00AD241C" w14:paraId="5494ED7F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4595DEA5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Expansão e reestruturação da Rede Federal de EPT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18B46A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25.100.000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722E915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32.500.000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154B81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6.408.537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A277F74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2.926.829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851865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11.769.535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A9AB0F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2.000.923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B83978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5.235.105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259A8F4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1.601.866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4B3835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656.166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5C26D4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EE64FE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517.485</w:t>
            </w:r>
          </w:p>
        </w:tc>
      </w:tr>
      <w:tr w:rsidR="00AD241C" w14:paraId="7F74E172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067F607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Funcionamento da Educação Profissional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F566307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70.562.346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021E06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73.654.046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EA9C51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65.070.237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1FB447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60.171.181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F7DA6B3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59.467.599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2710057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65.653.074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426BEE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39.135.516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D759D34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19.119.365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41C87B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59.840.282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590522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51.009.576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CAD4D2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60.472.576</w:t>
            </w:r>
          </w:p>
        </w:tc>
      </w:tr>
      <w:tr w:rsidR="00AD241C" w14:paraId="65175008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41F9D949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Projetos e programas específicos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9119D9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1.030.912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3D66133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937.518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25BAAB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1B1B38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9413BF3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6A5C76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0E05487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9176DC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2DC122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FB0993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1.137.963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4F1A36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1.157.240</w:t>
            </w:r>
          </w:p>
        </w:tc>
      </w:tr>
      <w:tr w:rsidR="00AD241C" w14:paraId="04138D2C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4A662F07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Assistência estudantil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D26FD8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8.067.806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BD80F2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8.821.596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ACA74C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9.031.973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3EFE5A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12.193.082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54A9B0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14.078.287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A292C9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14.078.353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8A04B4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8.337.989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8760737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6.098.804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2FFAA04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16.689.484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52A178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16.468.117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AD6234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17.512.350</w:t>
            </w:r>
          </w:p>
        </w:tc>
      </w:tr>
      <w:tr w:rsidR="00AD241C" w14:paraId="5B63D8D0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D1B7D90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Capacitação de servidores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2AD007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1.691.900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1F69DB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1.493.476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D0DEEF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1.307.837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A965AD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702.911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528D34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905.475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A3D784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697.259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33CD5F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399.198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FE98D8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195.521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DE7F067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448.757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5FE7043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348.493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D25BA2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389.653</w:t>
            </w:r>
          </w:p>
        </w:tc>
      </w:tr>
      <w:tr w:rsidR="00AD241C" w14:paraId="25F33E55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208191A2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Folha de pagamento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5BCC72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221.731.600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631BC3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274.761.605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D0EBD5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374.806.156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983466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427.575.649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C31421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452.740.535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8C1A103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502.987.789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74AA11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605.756.072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512E79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311.743.236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14C6055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627.186.408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A185EB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600.371.940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3F76BE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666.803.112</w:t>
            </w:r>
          </w:p>
        </w:tc>
      </w:tr>
      <w:tr w:rsidR="00AD241C" w14:paraId="0FD0C271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7FAB0C4E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Contribuição ao Conif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0040CD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103.753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66D5B5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110.649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C56CEA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51.979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942F50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43.211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8BDBF1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86.175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259ABA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87.065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751A0F22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49.846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3C38ED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27.341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04C12A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90.016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174086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92.017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B74183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94.089</w:t>
            </w:r>
          </w:p>
        </w:tc>
      </w:tr>
      <w:tr w:rsidR="00AD241C" w14:paraId="796C7B62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56C02F68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Publicidade de Utilidade Pública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5E7982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0C3DA5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49B355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159EAE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1955E6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A53A85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066E661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143.132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44FD26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97.760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1546B266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436C0C1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38D93D0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250.000</w:t>
            </w:r>
          </w:p>
        </w:tc>
      </w:tr>
      <w:tr w:rsidR="00AD241C" w14:paraId="75574912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51C66339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créditos orçamentários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42D96F07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328.184.564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A8539E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392.278.890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40B555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456.676.719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1D6DA0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503.812.863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A781BE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539.247.606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2CD4794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585.754.463</w:t>
            </w:r>
          </w:p>
        </w:tc>
        <w:tc>
          <w:tcPr>
            <w:tcW w:w="1079" w:type="dxa"/>
            <w:tcBorders>
              <w:top w:val="single" w:sz="4" w:space="0" w:color="FFFFFF"/>
              <w:bottom w:val="dotted" w:sz="4" w:space="0" w:color="000000"/>
            </w:tcBorders>
            <w:shd w:val="clear" w:color="auto" w:fill="EEEEEE"/>
            <w:vAlign w:val="center"/>
          </w:tcPr>
          <w:p w14:paraId="6E3DE113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659.056.858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6F083E5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338.883.893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6400DAE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705.161.113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0FDAD3A5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670.278.106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58F620DB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747.196.505</w:t>
            </w:r>
          </w:p>
        </w:tc>
      </w:tr>
      <w:tr w:rsidR="00AD241C" w14:paraId="5E503FDA" w14:textId="77777777">
        <w:trPr>
          <w:trHeight w:val="589"/>
          <w:jc w:val="center"/>
        </w:trPr>
        <w:tc>
          <w:tcPr>
            <w:tcW w:w="2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EEE"/>
            <w:vAlign w:val="center"/>
          </w:tcPr>
          <w:p w14:paraId="309B3DBD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créditos orçamentários</w:t>
            </w:r>
          </w:p>
          <w:p w14:paraId="4E9C3B6C" w14:textId="77777777" w:rsidR="00AD241C" w:rsidRDefault="00000000">
            <w:pPr>
              <w:pStyle w:val="normal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menos folha de pagamento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5AA08E2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106.452.964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5C7B3C6C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117.517.285</w:t>
            </w:r>
          </w:p>
        </w:tc>
        <w:tc>
          <w:tcPr>
            <w:tcW w:w="1080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7EC9E089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81.870.563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21B7D7CA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76.237.214</w:t>
            </w:r>
          </w:p>
        </w:tc>
        <w:tc>
          <w:tcPr>
            <w:tcW w:w="1079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24DE2924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86.507.071</w:t>
            </w:r>
          </w:p>
        </w:tc>
        <w:tc>
          <w:tcPr>
            <w:tcW w:w="1078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79DD0BDD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82.766.674</w:t>
            </w:r>
          </w:p>
        </w:tc>
        <w:tc>
          <w:tcPr>
            <w:tcW w:w="10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EEE"/>
            <w:vAlign w:val="center"/>
          </w:tcPr>
          <w:p w14:paraId="301D098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53.300.786</w:t>
            </w:r>
          </w:p>
        </w:tc>
        <w:tc>
          <w:tcPr>
            <w:tcW w:w="1057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6504788E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27.140.657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7791D5F8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77.974.705</w:t>
            </w:r>
          </w:p>
        </w:tc>
        <w:tc>
          <w:tcPr>
            <w:tcW w:w="1058" w:type="dxa"/>
            <w:tcBorders>
              <w:top w:val="single" w:sz="4" w:space="0" w:color="FFFFFF"/>
              <w:left w:val="dotted" w:sz="4" w:space="0" w:color="000000"/>
              <w:bottom w:val="dotted" w:sz="4" w:space="0" w:color="000000"/>
            </w:tcBorders>
            <w:shd w:val="clear" w:color="auto" w:fill="EEEEEE"/>
            <w:vAlign w:val="center"/>
          </w:tcPr>
          <w:p w14:paraId="30CA8AF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69.906.166</w:t>
            </w:r>
          </w:p>
        </w:tc>
        <w:tc>
          <w:tcPr>
            <w:tcW w:w="1101" w:type="dxa"/>
            <w:tcBorders>
              <w:top w:val="single" w:sz="4" w:space="0" w:color="FFFFFF"/>
              <w:left w:val="dotted" w:sz="4" w:space="0" w:color="000000"/>
              <w:bottom w:val="single" w:sz="4" w:space="0" w:color="FFFFFF"/>
            </w:tcBorders>
            <w:shd w:val="clear" w:color="auto" w:fill="EEEEEE"/>
            <w:vAlign w:val="center"/>
          </w:tcPr>
          <w:p w14:paraId="654334DF" w14:textId="77777777" w:rsidR="00AD241C" w:rsidRDefault="00000000">
            <w:pPr>
              <w:pStyle w:val="normal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80.393.393</w:t>
            </w:r>
          </w:p>
        </w:tc>
      </w:tr>
    </w:tbl>
    <w:p w14:paraId="47AE7D2A" w14:textId="77777777" w:rsidR="00AD241C" w:rsidRDefault="00000000">
      <w:pPr>
        <w:pStyle w:val="normal1"/>
        <w:spacing w:line="360" w:lineRule="auto"/>
        <w:ind w:left="567"/>
        <w:sectPr w:rsidR="00AD241C">
          <w:headerReference w:type="default" r:id="rId9"/>
          <w:footerReference w:type="default" r:id="rId10"/>
          <w:pgSz w:w="16838" w:h="11906" w:orient="landscape"/>
          <w:pgMar w:top="1984" w:right="567" w:bottom="1984" w:left="567" w:header="567" w:footer="567" w:gutter="0"/>
          <w:cols w:space="720"/>
          <w:formProt w:val="0"/>
          <w:docGrid w:linePitch="100"/>
        </w:sectPr>
      </w:pPr>
      <w:r>
        <w:rPr>
          <w:color w:val="000000"/>
          <w:sz w:val="22"/>
          <w:szCs w:val="22"/>
        </w:rPr>
        <w:t>Fonte: Lei Orçamentária Anual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0C048E7A" w14:textId="77777777" w:rsidR="00AD241C" w:rsidRDefault="00000000">
      <w:pPr>
        <w:pStyle w:val="Ttulo2"/>
        <w:numPr>
          <w:ilvl w:val="1"/>
          <w:numId w:val="2"/>
        </w:numPr>
      </w:pPr>
      <w:bookmarkStart w:id="6" w:name="_heading=h.ma2payzi8s4s"/>
      <w:bookmarkEnd w:id="6"/>
      <w:r>
        <w:lastRenderedPageBreak/>
        <w:t>ESTRATÉGIAS DE GESTÃO ECONÔMICO-FINANCEIRA SUSTENTÁVEL NO IFSC</w:t>
      </w:r>
    </w:p>
    <w:p w14:paraId="25DA861C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necessidade de melhorar a aplicação dos recursos levou o IFSC, desde 2012, a utilizar a metodologia de Unidades Gestoras Responsáveis (UGRs) para identificar o gasto das despesas em cada um dos câmpus, pró-reitorias e gabinete. Atualmente, para a divisão orçamentária são consideradas as matrículas ponderadas, conforme Matriz Conif, utilizando-se de critérios qualitativos para atender principalmente os câmpus que não teriam condições de contemplar seu funcionamento dentro dos padrões sustentáveis, caso fosse utilizada puramente a Matriz. Respeita-se, ainda, a indicação do valor destinado a cada câmpus pela Matriz Conif, definida pelo número de alunos e pelo peso dos cursos, bem como pelas demandas das políticas institucionais, como ensino, pesquisa, extensão, assistência estudantil e gestão de pessoas, entre outras. </w:t>
      </w:r>
    </w:p>
    <w:p w14:paraId="4B57A4F5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Para que a gestão dos recursos financeiros do IFSC seja realizada de forma sustentável e eficiente, essas estratégias e ações efetivas, bem como a discussão participativa, são necessárias. O conjunto de unidades que compõem o IFSC precisa se organizar tecnicamente para planejar a execução de seus projetos prioritários dentro de seus limites orçamentários e, assim, conseguir planejar o atendimento, a médio e longo prazos, de todas as suas necessidades para o atendimento pleno de sua missão.</w:t>
      </w:r>
    </w:p>
    <w:p w14:paraId="7C601B19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É preciso, acima de tudo, visão sistêmica dos gestores e da comunidade para entender o IFSC como uma única instituição, possuidora de necessidades comuns e específicas que precisam ser tratadas conjuntamente por todos os atores envolvidos e, assim, resolvidas de forma mais eficiente e justa. Não é possível atender a todas as necessidades de cada câmpus do IFSC em apenas um exercício orçamentário e, portanto, sem a atuação conjunta, com processos de priorização e falta de consciência sistêmica dos gestores, bem como estruturas inadequadas de execução, ficaria prejudicado o atingimento de nossos objetivos.</w:t>
      </w:r>
    </w:p>
    <w:p w14:paraId="0DFC94F5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 xml:space="preserve">   </w:t>
      </w:r>
      <w:r>
        <w:rPr>
          <w:color w:val="000000"/>
          <w:shd w:val="clear" w:color="auto" w:fill="FFFFFF"/>
        </w:rPr>
        <w:t xml:space="preserve">Além disso, é necessário que a cada novo projeto que se pretenda implementar - um novo curso, uma nova estrutura, um novo equipamento ou a contratação de um serviço - sejam analisados os custos atual e posterior do investimento e não apenas o seu preço momentâneo, pois faz-se necessário avaliá-los também em relação </w:t>
      </w:r>
      <w:r>
        <w:rPr>
          <w:shd w:val="clear" w:color="auto" w:fill="FFFFFF"/>
        </w:rPr>
        <w:t>às regras</w:t>
      </w:r>
      <w:r>
        <w:rPr>
          <w:color w:val="000000"/>
          <w:shd w:val="clear" w:color="auto" w:fill="FFFFFF"/>
        </w:rPr>
        <w:t xml:space="preserve"> e direcionamentos da matriz orçamentária.</w:t>
      </w:r>
    </w:p>
    <w:p w14:paraId="2DEB2CAF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  <w:shd w:val="clear" w:color="auto" w:fill="FFFFFF"/>
        </w:rPr>
        <w:tab/>
        <w:t xml:space="preserve">   Essas estratégias de atuação em rede têm como objetivos evitar o retrabalho e o desperdício </w:t>
      </w:r>
      <w:r>
        <w:rPr>
          <w:color w:val="000000"/>
          <w:shd w:val="clear" w:color="auto" w:fill="FFFFFF"/>
        </w:rPr>
        <w:lastRenderedPageBreak/>
        <w:t xml:space="preserve">do dinheiro público, compartilhar boas práticas, desburocratizar a gestão e, principalmente, proporcionar a </w:t>
      </w:r>
      <w:r>
        <w:rPr>
          <w:color w:val="000000"/>
        </w:rPr>
        <w:t>melhor qualidade possível do serviço público prestado à comunidade: o ensino público, gratuito e de excelência.</w:t>
      </w:r>
    </w:p>
    <w:p w14:paraId="321DF976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Dessa forma, a visão sistêmica de todos os envolvidos na gestão administrativa do IFSC se concretiza nas seguintes ações e princípios:</w:t>
      </w:r>
    </w:p>
    <w:p w14:paraId="42F7ED13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Diretrizes orçamentárias para gestão em rede, democrática e sustentável;</w:t>
      </w:r>
    </w:p>
    <w:p w14:paraId="3C4EB723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Prazos e procedimentos claros e objetivos, visando à qualidade do gasto público, à eficiência e à possibilidade de captação de recursos extraorçamentários;</w:t>
      </w:r>
    </w:p>
    <w:p w14:paraId="32D48D43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Gestão de planejamento e do orçamento do IFSC;</w:t>
      </w:r>
    </w:p>
    <w:p w14:paraId="1F3C0B20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Mapeamento de competências e capacitação permanente;</w:t>
      </w:r>
    </w:p>
    <w:p w14:paraId="5D837E8D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Estabelecimento de planejamentos para as contratações;</w:t>
      </w:r>
    </w:p>
    <w:p w14:paraId="189ABC58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Processos de execução orçamentária conjunta, tais como “Compras Compartilhadas” (economia de escala, melhor planejamento, prevenção de retrabalho);</w:t>
      </w:r>
    </w:p>
    <w:p w14:paraId="03383CA3" w14:textId="77777777" w:rsidR="00AD241C" w:rsidRDefault="00000000">
      <w:pPr>
        <w:pStyle w:val="normal1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Realização de fóruns de discussão e compartilhamento.</w:t>
      </w:r>
    </w:p>
    <w:p w14:paraId="1F7AE354" w14:textId="77777777" w:rsidR="00AD241C" w:rsidRDefault="00000000">
      <w:pPr>
        <w:pStyle w:val="normal1"/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t>Além disso, são estabelecidas estratégias para a sustentabilidade financeira em cada câmpus:</w:t>
      </w:r>
    </w:p>
    <w:p w14:paraId="486FC424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Diagnóstico participativo de necessidades de curto, médio e longo prazos;</w:t>
      </w:r>
    </w:p>
    <w:p w14:paraId="02C47385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</w:pPr>
      <w:r>
        <w:rPr>
          <w:color w:val="000000"/>
        </w:rPr>
        <w:t>Elaboração e revisão participativas dos Planos Anuais de Trabalho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(PAT);</w:t>
      </w:r>
    </w:p>
    <w:p w14:paraId="45907202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Vinculação/condicionamento da execução de despesas à previsão específica no PAT (com revisões trimestrais e provisão para despesas com imprevistos, inovações, etc);</w:t>
      </w:r>
    </w:p>
    <w:p w14:paraId="51729583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Tomadas de decisão de forma democrática e considerando não só o período de mandato de cada gestão;</w:t>
      </w:r>
    </w:p>
    <w:p w14:paraId="33DEAAD1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Acompanhamento e avaliação da execução orçamentária (disponibilização de relatórios bimestrais);</w:t>
      </w:r>
    </w:p>
    <w:p w14:paraId="004BE0CE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Definição de despesas essenciais e demais prioridades (apresentação e discussão democráticas em cada unidade);</w:t>
      </w:r>
    </w:p>
    <w:p w14:paraId="79FC003F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Planos de manutenções preventiva e corretiva da infraestrutura e dos equipamentos;</w:t>
      </w:r>
    </w:p>
    <w:p w14:paraId="53A260AE" w14:textId="77777777" w:rsidR="00AD241C" w:rsidRDefault="00000000">
      <w:pPr>
        <w:pStyle w:val="normal1"/>
        <w:numPr>
          <w:ilvl w:val="0"/>
          <w:numId w:val="6"/>
        </w:numPr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Plano de contratação anual por centro de custos.</w:t>
      </w:r>
    </w:p>
    <w:p w14:paraId="1763DBBD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Outra estratégia de gestão econômico-financeira é a captação de recursos extraorçamentários. Além da dotação definida na LOA, o IFSC necessitará, durante a vigência do PDI, de aporte de </w:t>
      </w:r>
      <w:r>
        <w:rPr>
          <w:color w:val="000000"/>
        </w:rPr>
        <w:lastRenderedPageBreak/>
        <w:t>recursos extraorçamentários para a consolidação e adequação da infraestrutura, bem como para a aquisição de mobiliário e equipamentos, a qualificação dos servidores e a assistência ao estudante.</w:t>
      </w:r>
    </w:p>
    <w:p w14:paraId="6CF1A40B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Nos últimos anos, o Instituto recorreu à Setec para obter suplementação orçamentária por meio de descentralização de crédito, a fim de implementar suas ações e financiar seu crescimento. As descentralizações de crédito obtidas com órgãos públicos, em sua maioria, são firmadas com a Setec, que subsidia, em maior volume, as ações de expansão, a melhoria da educação tecnológica e a construção de câmpus.</w:t>
      </w:r>
    </w:p>
    <w:p w14:paraId="0D2F37A7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>O Plano de Aceleração do Crescimento (PAC), sob responsabilidade da Presidência da República, concedeu recursos para investimentos na expansão (novos câmpus) e consolidação (obras para uniformizar o atendimento nos câmpus, relacionado a infraestruturas como: refeitórios, auditórios, bibliotecas, salas de aulas, laboratórios entre outros). Em 2024, houve também a pactuação para construção de refeitórios, obras de expansão e obras para transformação de câmpus avançado.</w:t>
      </w:r>
    </w:p>
    <w:p w14:paraId="6776CCAB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Ainda em relação à expansão dos créditos orçamentários, o cuidado, o incentivo e o planejamento na busca pelas receitas próprias do IFSC, por meio da prestação de serviços, da realização de convênios e parcerias, da utilização das infraestruturas, dos recursos das taxas de ingresso, concursos e outras, bem como na implementação futura da sistemática de leilões de ativos permanentes são e serão fundamentais para o atendimento orçamentário do IFSC.</w:t>
      </w:r>
    </w:p>
    <w:p w14:paraId="5396B581" w14:textId="1BA33036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ab/>
        <w:t xml:space="preserve">Ao longo dos últimos anos, o IFSC vem implantando, também, o Programa IFSC Sustentável, com o objetivo de propor e sistematizar a prática de ações que visem à redução do impacto ambiental dos processos institucionais, ao aprimoramento da gestão visando à eficiência, à atuação com foco social e ao desenvolvimento de uma cultura para a sustentabilidade em suas dimensões ambiental, social e econômica.  Nesse sentido, </w:t>
      </w:r>
      <w:r w:rsidR="007C3556">
        <w:rPr>
          <w:color w:val="000000"/>
        </w:rPr>
        <w:t>em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2015, o IFSC </w:t>
      </w:r>
      <w:r>
        <w:rPr>
          <w:color w:val="000000"/>
        </w:rPr>
        <w:t xml:space="preserve">elaborou e implantou o Plano de Gestão de Logística Sustentável (PLS), atualmente em revisão e qualificação, e encontra-se em fase de aprovação a Política de Contratações institucional, instrumento fundamental no diálogo com o PLS. </w:t>
      </w:r>
    </w:p>
    <w:p w14:paraId="57BDF997" w14:textId="06B5495C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 xml:space="preserve">Muitas ações em relação à sustentabilidade já são trabalhadas pela instituição, dentre elas destacam-se: a adoção de sistema de contratações sistêmicas; a publicação de editais de obras e compras com critérios sustentáveis; a melhoria da qualidade do gasto público com a adoção do Plano de Contratação Anual; e o uso de planilha de custos para contratações. Destacam-se, </w:t>
      </w:r>
      <w:r w:rsidR="007C3556">
        <w:rPr>
          <w:color w:val="000000"/>
        </w:rPr>
        <w:t>ainda, a</w:t>
      </w:r>
      <w:r>
        <w:rPr>
          <w:color w:val="000000"/>
        </w:rPr>
        <w:t xml:space="preserve"> adesão ao Sistema Esplanada Sustentável (Sispes), que monitora o consumo de energia elétrica e água nos </w:t>
      </w:r>
      <w:r>
        <w:rPr>
          <w:color w:val="000000"/>
        </w:rPr>
        <w:lastRenderedPageBreak/>
        <w:t xml:space="preserve">órgãos públicos, em atendimento ao disposto na Portaria nº 23, de 12 de fevereiro de 2015, do Ministério do Planejamento; a participação no Programa Energif, relativo às contratações de sistemas </w:t>
      </w:r>
      <w:r>
        <w:t>fotovoltaicos</w:t>
      </w:r>
      <w:r>
        <w:rPr>
          <w:color w:val="000000"/>
        </w:rPr>
        <w:t xml:space="preserve"> para a Reitoria e Câmpus. </w:t>
      </w:r>
    </w:p>
    <w:p w14:paraId="2E1D0CFE" w14:textId="77777777" w:rsidR="00AD241C" w:rsidRDefault="00000000">
      <w:pPr>
        <w:pStyle w:val="normal1"/>
        <w:spacing w:after="57" w:line="360" w:lineRule="auto"/>
        <w:ind w:firstLine="709"/>
        <w:jc w:val="both"/>
      </w:pPr>
      <w:r>
        <w:rPr>
          <w:color w:val="000000"/>
        </w:rPr>
        <w:t xml:space="preserve">Outras ações pontuais foram sistematizadas para compartilhamento de boas práticas de sustentabilidade, como impressões frente e verso, redução do uso de papel, distribuição de canecas de material reciclado, capacitações, reciclagem e reaproveitamento de água da chuva. Para consolidar esse rol de iniciativas e ações de gestão sustentável, bem como ampliar o escopo da sustentabilidade no IFSC, em 2018 a instituição aprovou sua Política de Sustentabilidade (Resolução Consup nº 28 de 21/08/2018), trazendo diretrizes também para ensino, pesquisa e extensão, Política que passará </w:t>
      </w:r>
      <w:r>
        <w:t>por</w:t>
      </w:r>
      <w:r>
        <w:rPr>
          <w:color w:val="000000"/>
        </w:rPr>
        <w:t xml:space="preserve"> processo de revisão para sua qualificação.</w:t>
      </w:r>
    </w:p>
    <w:p w14:paraId="2B883EC5" w14:textId="7288FC36" w:rsidR="00AD241C" w:rsidRDefault="00000000">
      <w:pPr>
        <w:pStyle w:val="normal1"/>
        <w:spacing w:after="57" w:line="360" w:lineRule="auto"/>
        <w:ind w:firstLine="709"/>
        <w:jc w:val="both"/>
      </w:pPr>
      <w:r>
        <w:t xml:space="preserve">Portanto, o IFSC busca </w:t>
      </w:r>
      <w:r>
        <w:rPr>
          <w:color w:val="000000"/>
        </w:rPr>
        <w:t xml:space="preserve">a melhoria contínua em suas </w:t>
      </w:r>
      <w:r w:rsidR="007C3556">
        <w:rPr>
          <w:color w:val="000000"/>
        </w:rPr>
        <w:t>ações, visando</w:t>
      </w:r>
      <w:r>
        <w:rPr>
          <w:color w:val="000000"/>
        </w:rPr>
        <w:t xml:space="preserve"> garantir, desta forma, um futuro promissor em relação ao que a instituição compreende por sustentabilidade financeira, ou seja, a busca pelo equilíbrio entre as receitas e as necessidades, integradas ao conjunto dos planejamentos institucionais.</w:t>
      </w:r>
    </w:p>
    <w:p w14:paraId="24DCE4E2" w14:textId="77777777" w:rsidR="00AD241C" w:rsidRDefault="00AD241C">
      <w:pPr>
        <w:pStyle w:val="normal1"/>
        <w:spacing w:after="57" w:line="360" w:lineRule="auto"/>
        <w:ind w:firstLine="709"/>
        <w:jc w:val="both"/>
      </w:pPr>
    </w:p>
    <w:sectPr w:rsidR="00AD241C">
      <w:headerReference w:type="default" r:id="rId11"/>
      <w:footerReference w:type="default" r:id="rId12"/>
      <w:pgSz w:w="11906" w:h="16838"/>
      <w:pgMar w:top="2693" w:right="1134" w:bottom="1766" w:left="1134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3FB0" w14:textId="77777777" w:rsidR="00783B11" w:rsidRDefault="00783B11">
      <w:r>
        <w:separator/>
      </w:r>
    </w:p>
  </w:endnote>
  <w:endnote w:type="continuationSeparator" w:id="0">
    <w:p w14:paraId="1C3EE18E" w14:textId="77777777" w:rsidR="00783B11" w:rsidRDefault="007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8A70" w14:textId="77777777" w:rsidR="00AD241C" w:rsidRDefault="00AD241C">
    <w:pPr>
      <w:pStyle w:val="normal1"/>
      <w:tabs>
        <w:tab w:val="center" w:pos="4819"/>
        <w:tab w:val="right" w:pos="9638"/>
      </w:tabs>
      <w:rPr>
        <w:rFonts w:eastAsia="Times New Roman" w:cs="Times New Roman"/>
        <w:color w:val="000000"/>
      </w:rPr>
    </w:pPr>
  </w:p>
  <w:p w14:paraId="4ABCD0BD" w14:textId="77777777" w:rsidR="00AD241C" w:rsidRDefault="00AD241C">
    <w:pPr>
      <w:pStyle w:val="normal1"/>
      <w:tabs>
        <w:tab w:val="center" w:pos="4819"/>
        <w:tab w:val="right" w:pos="9638"/>
      </w:tabs>
      <w:rPr>
        <w:rFonts w:eastAsia="Times New Roman" w:cs="Times New Roman"/>
        <w:color w:val="000000"/>
      </w:rPr>
    </w:pPr>
  </w:p>
  <w:p w14:paraId="48A0CBA2" w14:textId="77777777" w:rsidR="00AD241C" w:rsidRDefault="00000000">
    <w:pPr>
      <w:pStyle w:val="normal1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A3BD" w14:textId="77777777" w:rsidR="00AD241C" w:rsidRDefault="00AD241C">
    <w:pPr>
      <w:pStyle w:val="normal1"/>
      <w:tabs>
        <w:tab w:val="center" w:pos="4819"/>
        <w:tab w:val="right" w:pos="9638"/>
      </w:tabs>
      <w:jc w:val="right"/>
      <w:rPr>
        <w:rFonts w:eastAsia="Times New Roman" w:cs="Times New Roman"/>
        <w:color w:val="000000"/>
      </w:rPr>
    </w:pPr>
  </w:p>
  <w:p w14:paraId="6449429B" w14:textId="77777777" w:rsidR="00AD241C" w:rsidRDefault="00AD241C">
    <w:pPr>
      <w:pStyle w:val="normal1"/>
      <w:tabs>
        <w:tab w:val="center" w:pos="4819"/>
        <w:tab w:val="right" w:pos="9638"/>
      </w:tabs>
      <w:jc w:val="right"/>
      <w:rPr>
        <w:rFonts w:eastAsia="Times New Roman" w:cs="Times New Roman"/>
        <w:color w:val="000000"/>
      </w:rPr>
    </w:pPr>
  </w:p>
  <w:p w14:paraId="698D0FF2" w14:textId="77777777" w:rsidR="00AD241C" w:rsidRDefault="00AD241C">
    <w:pPr>
      <w:pStyle w:val="normal1"/>
      <w:tabs>
        <w:tab w:val="center" w:pos="4819"/>
        <w:tab w:val="right" w:pos="9638"/>
      </w:tabs>
      <w:jc w:val="right"/>
      <w:rPr>
        <w:rFonts w:eastAsia="Times New Roman" w:cs="Times New Roman"/>
        <w:color w:val="000000"/>
      </w:rPr>
    </w:pPr>
  </w:p>
  <w:p w14:paraId="63A9965F" w14:textId="77777777" w:rsidR="00AD241C" w:rsidRDefault="00000000">
    <w:pPr>
      <w:pStyle w:val="normal1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3BF1" w14:textId="77777777" w:rsidR="00AD241C" w:rsidRDefault="00AD241C">
    <w:pPr>
      <w:pStyle w:val="normal1"/>
      <w:tabs>
        <w:tab w:val="center" w:pos="4819"/>
        <w:tab w:val="right" w:pos="9638"/>
      </w:tabs>
      <w:rPr>
        <w:rFonts w:eastAsia="Times New Roman" w:cs="Times New Roman"/>
        <w:color w:val="000000"/>
      </w:rPr>
    </w:pPr>
  </w:p>
  <w:p w14:paraId="41C84DAA" w14:textId="77777777" w:rsidR="00AD241C" w:rsidRDefault="00AD241C">
    <w:pPr>
      <w:pStyle w:val="normal1"/>
      <w:tabs>
        <w:tab w:val="center" w:pos="4819"/>
        <w:tab w:val="right" w:pos="9638"/>
      </w:tabs>
      <w:rPr>
        <w:rFonts w:eastAsia="Times New Roman" w:cs="Times New Roman"/>
        <w:color w:val="000000"/>
      </w:rPr>
    </w:pPr>
  </w:p>
  <w:p w14:paraId="3C5846AE" w14:textId="77777777" w:rsidR="00AD241C" w:rsidRDefault="00000000">
    <w:pPr>
      <w:pStyle w:val="normal1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7D09" w14:textId="77777777" w:rsidR="00783B11" w:rsidRDefault="00783B11">
      <w:pPr>
        <w:rPr>
          <w:sz w:val="12"/>
        </w:rPr>
      </w:pPr>
    </w:p>
  </w:footnote>
  <w:footnote w:type="continuationSeparator" w:id="0">
    <w:p w14:paraId="050036A1" w14:textId="77777777" w:rsidR="00783B11" w:rsidRDefault="00783B11">
      <w:pPr>
        <w:rPr>
          <w:sz w:val="12"/>
        </w:rPr>
      </w:pPr>
    </w:p>
  </w:footnote>
  <w:footnote w:id="1">
    <w:p w14:paraId="4317C02F" w14:textId="77777777" w:rsidR="00AD241C" w:rsidRDefault="00000000">
      <w:pPr>
        <w:pStyle w:val="normal1"/>
        <w:tabs>
          <w:tab w:val="center" w:pos="4819"/>
          <w:tab w:val="right" w:pos="9638"/>
        </w:tabs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color w:val="000000"/>
          <w:sz w:val="20"/>
          <w:szCs w:val="20"/>
        </w:rPr>
        <w:tab/>
        <w:t xml:space="preserve"> ROSA, Altair. Rede de governança ambiental na cidade de Curitiba e o papel das tecnologias de informação e comunicação. 2007. Dissertação (Mestrado em Gestão Urbana) - Pontifícia Universidade Católica do Paraná. Programa de Pós-Graduação em Gestão Urbana, Curitiba, 2007.</w:t>
      </w:r>
    </w:p>
    <w:p w14:paraId="01349555" w14:textId="77777777" w:rsidR="00AD241C" w:rsidRDefault="00AD241C">
      <w:pPr>
        <w:pStyle w:val="normal1"/>
        <w:tabs>
          <w:tab w:val="center" w:pos="4819"/>
          <w:tab w:val="right" w:pos="9638"/>
        </w:tabs>
        <w:jc w:val="both"/>
      </w:pPr>
    </w:p>
  </w:footnote>
  <w:footnote w:id="2">
    <w:p w14:paraId="59519194" w14:textId="77777777" w:rsidR="00AD241C" w:rsidRDefault="00000000">
      <w:pPr>
        <w:pStyle w:val="normal1"/>
        <w:tabs>
          <w:tab w:val="center" w:pos="4819"/>
          <w:tab w:val="right" w:pos="9638"/>
        </w:tabs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color w:val="000000"/>
          <w:sz w:val="20"/>
          <w:szCs w:val="20"/>
        </w:rPr>
        <w:tab/>
        <w:t xml:space="preserve"> BACHA, Maria de Lourdes; SANTOS, Jorgina; SCHAUN, Angela. Considerações teóricas sobre o conceito de Sustentabilidade. VII Simpósio de Excelência em Gestão e Tecnologia, 2010. Disponível em: http://www.aedb.br/seget/artigos10/31_cons%20teor%20bacha.pdf.</w:t>
      </w:r>
    </w:p>
    <w:p w14:paraId="294AC158" w14:textId="77777777" w:rsidR="00AD241C" w:rsidRDefault="00000000">
      <w:pPr>
        <w:pStyle w:val="normal1"/>
        <w:spacing w:after="57"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60FF" w14:textId="77777777" w:rsidR="00AD241C" w:rsidRDefault="00000000">
    <w:pPr>
      <w:pStyle w:val="normal1"/>
      <w:tabs>
        <w:tab w:val="center" w:pos="4819"/>
        <w:tab w:val="right" w:pos="9135"/>
        <w:tab w:val="right" w:pos="9638"/>
      </w:tabs>
      <w:ind w:right="255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anchor distT="0" distB="0" distL="0" distR="0" simplePos="0" relativeHeight="15" behindDoc="1" locked="0" layoutInCell="0" allowOverlap="1" wp14:anchorId="494C8292" wp14:editId="1739F076">
          <wp:simplePos x="0" y="0"/>
          <wp:positionH relativeFrom="column">
            <wp:posOffset>-746760</wp:posOffset>
          </wp:positionH>
          <wp:positionV relativeFrom="paragraph">
            <wp:posOffset>-364490</wp:posOffset>
          </wp:positionV>
          <wp:extent cx="7534275" cy="1069657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9B4A" w14:textId="77777777" w:rsidR="00AD241C" w:rsidRDefault="00000000">
    <w:pPr>
      <w:pStyle w:val="normal1"/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anchor distT="0" distB="0" distL="0" distR="0" simplePos="0" relativeHeight="6" behindDoc="1" locked="0" layoutInCell="0" allowOverlap="1" wp14:anchorId="24CAAC0C" wp14:editId="0E36FF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18400" cy="10635615"/>
          <wp:effectExtent l="0" t="0" r="0" b="0"/>
          <wp:wrapNone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063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B735" w14:textId="77777777" w:rsidR="00AD241C" w:rsidRDefault="00000000">
    <w:pPr>
      <w:pStyle w:val="normal1"/>
      <w:tabs>
        <w:tab w:val="center" w:pos="4819"/>
        <w:tab w:val="right" w:pos="9135"/>
        <w:tab w:val="right" w:pos="9638"/>
      </w:tabs>
      <w:ind w:right="255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anchor distT="0" distB="0" distL="0" distR="0" simplePos="0" relativeHeight="5" behindDoc="1" locked="0" layoutInCell="0" allowOverlap="1" wp14:anchorId="6EEC4C76" wp14:editId="7A3E4CDD">
          <wp:simplePos x="0" y="0"/>
          <wp:positionH relativeFrom="margin">
            <wp:posOffset>-697865</wp:posOffset>
          </wp:positionH>
          <wp:positionV relativeFrom="margin">
            <wp:posOffset>-1705610</wp:posOffset>
          </wp:positionV>
          <wp:extent cx="7515225" cy="10696575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057"/>
    <w:multiLevelType w:val="multilevel"/>
    <w:tmpl w:val="E4D8E3D4"/>
    <w:lvl w:ilvl="0">
      <w:start w:val="1"/>
      <w:numFmt w:val="bullet"/>
      <w:lvlText w:val="●"/>
      <w:lvlJc w:val="left"/>
      <w:pPr>
        <w:tabs>
          <w:tab w:val="num" w:pos="0"/>
        </w:tabs>
        <w:ind w:left="227" w:hanging="227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454" w:hanging="227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680" w:hanging="227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907" w:hanging="227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1134" w:hanging="227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1361" w:hanging="227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1587" w:hanging="227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1814" w:hanging="226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2041" w:hanging="227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06B016A"/>
    <w:multiLevelType w:val="multilevel"/>
    <w:tmpl w:val="BCD00232"/>
    <w:lvl w:ilvl="0">
      <w:start w:val="1"/>
      <w:numFmt w:val="bullet"/>
      <w:lvlText w:val="●"/>
      <w:lvlJc w:val="left"/>
      <w:pPr>
        <w:tabs>
          <w:tab w:val="num" w:pos="0"/>
        </w:tabs>
        <w:ind w:left="1343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703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6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42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83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14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50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63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223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55C44FB"/>
    <w:multiLevelType w:val="multilevel"/>
    <w:tmpl w:val="15A4AC8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B8E3867"/>
    <w:multiLevelType w:val="multilevel"/>
    <w:tmpl w:val="0B448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5F4D1E"/>
    <w:multiLevelType w:val="multilevel"/>
    <w:tmpl w:val="746E2E62"/>
    <w:lvl w:ilvl="0">
      <w:start w:val="5"/>
      <w:numFmt w:val="decimal"/>
      <w:lvlText w:val="Capítulo %1 – "/>
      <w:lvlJc w:val="left"/>
      <w:pPr>
        <w:tabs>
          <w:tab w:val="num" w:pos="0"/>
        </w:tabs>
        <w:ind w:left="113" w:hanging="11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2122A3"/>
    <w:multiLevelType w:val="multilevel"/>
    <w:tmpl w:val="1FBCF7DA"/>
    <w:lvl w:ilvl="0">
      <w:start w:val="1"/>
      <w:numFmt w:val="bullet"/>
      <w:lvlText w:val="●"/>
      <w:lvlJc w:val="left"/>
      <w:pPr>
        <w:tabs>
          <w:tab w:val="num" w:pos="0"/>
        </w:tabs>
        <w:ind w:left="128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647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36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27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8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44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07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67" w:hanging="360"/>
      </w:pPr>
      <w:rPr>
        <w:rFonts w:ascii="Noto Sans Symbols" w:hAnsi="Noto Sans Symbols" w:cs="Noto Sans Symbols" w:hint="default"/>
      </w:rPr>
    </w:lvl>
  </w:abstractNum>
  <w:num w:numId="1" w16cid:durableId="908996119">
    <w:abstractNumId w:val="3"/>
  </w:num>
  <w:num w:numId="2" w16cid:durableId="38937205">
    <w:abstractNumId w:val="4"/>
  </w:num>
  <w:num w:numId="3" w16cid:durableId="1878424100">
    <w:abstractNumId w:val="0"/>
  </w:num>
  <w:num w:numId="4" w16cid:durableId="862979685">
    <w:abstractNumId w:val="2"/>
  </w:num>
  <w:num w:numId="5" w16cid:durableId="2143035727">
    <w:abstractNumId w:val="5"/>
  </w:num>
  <w:num w:numId="6" w16cid:durableId="6122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C"/>
    <w:rsid w:val="00783B11"/>
    <w:rsid w:val="007C3556"/>
    <w:rsid w:val="00A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65F"/>
  <w15:docId w15:val="{A8C75C84-B236-4432-B9AB-29E55595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spacing w:before="240" w:after="120"/>
      <w:ind w:left="113" w:hanging="113"/>
      <w:jc w:val="center"/>
      <w:outlineLvl w:val="0"/>
    </w:pPr>
    <w:rPr>
      <w:rFonts w:eastAsia="Times New Roman" w:cs="Times New Roman"/>
      <w:b/>
      <w:smallCaps/>
      <w:color w:val="006400"/>
      <w:sz w:val="28"/>
      <w:szCs w:val="28"/>
    </w:rPr>
  </w:style>
  <w:style w:type="paragraph" w:styleId="Ttulo2">
    <w:name w:val="heading 2"/>
    <w:basedOn w:val="normal1"/>
    <w:next w:val="normal1"/>
    <w:uiPriority w:val="9"/>
    <w:unhideWhenUsed/>
    <w:qFormat/>
    <w:pPr>
      <w:keepNext/>
      <w:spacing w:before="340" w:after="170"/>
      <w:ind w:left="576" w:hanging="576"/>
      <w:outlineLvl w:val="1"/>
    </w:pPr>
    <w:rPr>
      <w:rFonts w:eastAsia="Times New Roman" w:cs="Times New Roman"/>
      <w:b/>
      <w:smallCaps/>
      <w:color w:val="000000"/>
    </w:rPr>
  </w:style>
  <w:style w:type="paragraph" w:styleId="Ttulo3">
    <w:name w:val="heading 3"/>
    <w:basedOn w:val="normal1"/>
    <w:next w:val="normal1"/>
    <w:uiPriority w:val="9"/>
    <w:unhideWhenUsed/>
    <w:qFormat/>
    <w:pPr>
      <w:keepNext/>
      <w:spacing w:before="340" w:after="170"/>
      <w:ind w:left="720" w:hanging="720"/>
      <w:outlineLvl w:val="2"/>
    </w:pPr>
    <w:rPr>
      <w:rFonts w:eastAsia="Times New Roman" w:cs="Times New Roman"/>
      <w:b/>
      <w:color w:val="00000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spacing w:before="120" w:after="120"/>
      <w:outlineLvl w:val="3"/>
    </w:pPr>
    <w:rPr>
      <w:rFonts w:eastAsia="Times New Roman" w:cs="Times New Roman"/>
      <w:b/>
      <w:color w:val="006633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1"/>
    <w:next w:val="normal1"/>
    <w:uiPriority w:val="10"/>
    <w:qFormat/>
    <w:pPr>
      <w:keepNext/>
      <w:keepLines/>
      <w:widowControl/>
      <w:spacing w:before="480" w:after="120"/>
    </w:pPr>
    <w:rPr>
      <w:rFonts w:ascii="Calibri" w:eastAsia="Calibri" w:hAnsi="Calibri" w:cs="Calibri"/>
      <w:b/>
      <w:color w:val="000000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normal1">
    <w:name w:val="normal1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widowControl/>
      <w:spacing w:before="340" w:after="170"/>
    </w:pPr>
    <w:rPr>
      <w:rFonts w:ascii="Georgia" w:eastAsia="Georgia" w:hAnsi="Georgia" w:cs="Georgia"/>
      <w:b/>
      <w:color w:val="000000"/>
    </w:rPr>
  </w:style>
  <w:style w:type="paragraph" w:styleId="Textodenotaderodap">
    <w:name w:val="footnote text"/>
    <w:basedOn w:val="LO-normal"/>
  </w:style>
  <w:style w:type="paragraph" w:customStyle="1" w:styleId="Cabealhoerodap">
    <w:name w:val="Cabeçalho e rodapé"/>
    <w:basedOn w:val="LO-normal"/>
    <w:qFormat/>
  </w:style>
  <w:style w:type="paragraph" w:customStyle="1" w:styleId="CabealhoeRodap0">
    <w:name w:val="Cabeçalho e Rodapé"/>
    <w:basedOn w:val="LO-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3782</Words>
  <Characters>20424</Characters>
  <Application>Microsoft Office Word</Application>
  <DocSecurity>0</DocSecurity>
  <Lines>170</Lines>
  <Paragraphs>48</Paragraphs>
  <ScaleCrop>false</ScaleCrop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Felipe Andrade</cp:lastModifiedBy>
  <cp:revision>2</cp:revision>
  <dcterms:created xsi:type="dcterms:W3CDTF">2025-06-25T19:32:00Z</dcterms:created>
  <dcterms:modified xsi:type="dcterms:W3CDTF">2025-06-25T19:39:00Z</dcterms:modified>
  <dc:language>pt-BR</dc:language>
</cp:coreProperties>
</file>